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hint="eastAsia" w:ascii="宋体" w:hAnsi="宋体" w:eastAsia="宋体" w:cs="Times New Roman"/>
          <w:b/>
          <w:bCs/>
          <w:spacing w:val="20"/>
          <w:sz w:val="72"/>
          <w:szCs w:val="72"/>
        </w:rPr>
        <w:t xml:space="preserve">江 阴 市 政 府 采 购</w:t>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hint="eastAsia" w:ascii="宋体" w:hAnsi="宋体" w:eastAsia="宋体" w:cs="Times New Roman"/>
          <w:b/>
          <w:bCs/>
          <w:sz w:val="72"/>
          <w:szCs w:val="72"/>
        </w:rPr>
        <w:t xml:space="preserve">公　开　招　标</w:t>
      </w:r>
      <w:r/>
    </w:p>
    <w:p>
      <w:pPr>
        <w:jc w:val="center"/>
        <w:rPr>
          <w:rFonts w:ascii="宋体" w:hAnsi="宋体" w:eastAsia="宋体" w:cs="Times New Roman"/>
          <w:b/>
          <w:bCs/>
          <w:sz w:val="72"/>
          <w:szCs w:val="72"/>
        </w:rPr>
      </w:pPr>
      <w:r>
        <w:rPr>
          <w:rFonts w:ascii="宋体" w:hAnsi="宋体" w:eastAsia="宋体" w:cs="Times New Roman"/>
          <w:b/>
          <w:bCs/>
          <w:sz w:val="72"/>
          <w:szCs w:val="7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-114300</wp:posOffset>
                </wp:positionH>
                <wp:positionV relativeFrom="paragraph">
                  <wp:posOffset>196215</wp:posOffset>
                </wp:positionV>
                <wp:extent cx="635" cy="0"/>
                <wp:effectExtent l="0" t="0" r="0" b="0"/>
                <wp:wrapNone/>
                <wp:docPr id="1" name="直接连接符 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a:solidFill>
                            <a:srgbClr val="000000"/>
                          </a:solidFill>
                          <a:round/>
                        </a:ln>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9.0pt,15.4pt" to="-8.9pt,15.4pt" filled="f" strokecolor="#000000" strokeweight="0.75pt"/>
            </w:pict>
          </mc:Fallback>
        </mc:AlternateContent>
      </w:r>
      <w:r>
        <w:rPr>
          <w:rFonts w:hint="eastAsia" w:ascii="宋体" w:hAnsi="宋体" w:eastAsia="宋体" w:cs="Times New Roman"/>
          <w:b/>
          <w:bCs/>
          <w:sz w:val="72"/>
          <w:szCs w:val="72"/>
        </w:rPr>
        <w:t xml:space="preserve">招　标　文　件</w:t>
      </w:r>
      <w:r/>
    </w:p>
    <w:p>
      <w:pPr>
        <w:jc w:val="center"/>
        <w:rPr>
          <w:rFonts w:ascii="宋体" w:hAnsi="宋体" w:eastAsia="宋体" w:cs="Times New Roman"/>
          <w:b/>
          <w:bCs/>
          <w:sz w:val="72"/>
          <w:szCs w:val="72"/>
        </w:rPr>
      </w:pPr>
      <w:r>
        <w:rPr>
          <w:rFonts w:ascii="宋体" w:hAnsi="宋体" w:eastAsia="宋体" w:cs="Times New Roman"/>
          <w:b/>
          <w:bCs/>
          <w:sz w:val="72"/>
          <w:szCs w:val="72"/>
        </w:rPr>
      </w:r>
      <w:r/>
    </w:p>
    <w:p>
      <w:pPr>
        <w:jc w:val="center"/>
        <w:rPr>
          <w:rFonts w:ascii="宋体" w:hAnsi="宋体" w:eastAsia="宋体" w:cs="Times New Roman"/>
          <w:b/>
          <w:bCs/>
          <w:sz w:val="72"/>
          <w:szCs w:val="72"/>
        </w:rPr>
      </w:pPr>
      <w:r>
        <w:rPr>
          <w:rFonts w:ascii="宋体" w:hAnsi="宋体" w:eastAsia="宋体" w:cs="Times New Roman"/>
          <w:b/>
          <w:bCs/>
          <w:sz w:val="72"/>
          <w:szCs w:val="72"/>
        </w:rPr>
      </w:r>
      <w:r/>
    </w:p>
    <w:p>
      <w:pPr>
        <w:ind w:left="3207" w:hanging="2249"/>
        <w:spacing w:line="360" w:lineRule="auto"/>
        <w:rPr>
          <w:rFonts w:ascii="宋体" w:hAnsi="宋体" w:eastAsia="宋体" w:cs="Times New Roman"/>
          <w:bCs/>
          <w:sz w:val="32"/>
          <w:szCs w:val="24"/>
        </w:rPr>
      </w:pPr>
      <w:r>
        <w:rPr>
          <w:rFonts w:hint="eastAsia" w:ascii="宋体" w:hAnsi="宋体" w:eastAsia="宋体" w:cs="Times New Roman"/>
          <w:b/>
          <w:sz w:val="32"/>
          <w:szCs w:val="32"/>
        </w:rPr>
        <w:t xml:space="preserve">采购项目名称</w:t>
      </w:r>
      <w:bookmarkStart w:id="0" w:name="_Toc311189771"/>
      <w:r/>
      <w:bookmarkStart w:id="1" w:name="_Toc311189700"/>
      <w:r>
        <w:rPr>
          <w:rFonts w:hint="eastAsia" w:ascii="宋体" w:hAnsi="宋体" w:eastAsia="宋体" w:cs="Times New Roman"/>
          <w:b/>
          <w:sz w:val="32"/>
          <w:szCs w:val="32"/>
        </w:rPr>
        <w:t xml:space="preserve">：</w:t>
      </w:r>
      <w:r>
        <w:rPr>
          <w:rFonts w:hint="eastAsia" w:ascii="宋体" w:hAnsi="宋体" w:eastAsia="宋体" w:cs="宋体"/>
          <w:bCs/>
          <w:sz w:val="32"/>
          <w:szCs w:val="32"/>
        </w:rPr>
        <w:t xml:space="preserve">江阴市第三人民医院四级电子病历升级改造项目</w:t>
      </w:r>
      <w:r/>
    </w:p>
    <w:p>
      <w:pPr>
        <w:ind w:left="1279" w:hanging="321"/>
        <w:spacing w:line="360" w:lineRule="auto"/>
        <w:rPr>
          <w:rFonts w:ascii="宋体" w:hAnsi="宋体" w:eastAsia="宋体" w:cs="Times New Roman"/>
          <w:bCs/>
          <w:sz w:val="32"/>
          <w:szCs w:val="24"/>
        </w:rPr>
      </w:pPr>
      <w:r>
        <w:rPr>
          <w:rFonts w:hint="eastAsia" w:ascii="宋体" w:hAnsi="宋体" w:eastAsia="宋体" w:cs="Times New Roman"/>
          <w:b/>
          <w:sz w:val="32"/>
          <w:szCs w:val="32"/>
        </w:rPr>
        <w:t xml:space="preserve">采购项</w:t>
      </w:r>
      <w:r>
        <w:rPr>
          <w:rFonts w:hint="eastAsia" w:ascii="宋体" w:hAnsi="宋体" w:eastAsia="宋体" w:cs="Batang"/>
          <w:b/>
          <w:sz w:val="32"/>
          <w:szCs w:val="32"/>
        </w:rPr>
        <w:t xml:space="preserve">目</w:t>
      </w:r>
      <w:bookmarkEnd w:id="0"/>
      <w:r/>
      <w:bookmarkEnd w:id="1"/>
      <w:r>
        <w:rPr>
          <w:rFonts w:hint="eastAsia" w:ascii="宋体" w:hAnsi="宋体" w:eastAsia="宋体" w:cs="Times New Roman"/>
          <w:b/>
          <w:bCs/>
          <w:sz w:val="32"/>
          <w:szCs w:val="32"/>
        </w:rPr>
        <w:t xml:space="preserve">编号</w:t>
      </w:r>
      <w:r>
        <w:rPr>
          <w:rFonts w:hint="eastAsia" w:ascii="宋体" w:hAnsi="宋体" w:eastAsia="宋体" w:cs="Times New Roman"/>
          <w:bCs/>
          <w:sz w:val="32"/>
          <w:szCs w:val="24"/>
        </w:rPr>
        <w:t xml:space="preserve">：</w:t>
      </w:r>
      <w:r>
        <w:rPr>
          <w:rFonts w:hint="eastAsia" w:ascii="宋体" w:hAnsi="宋体" w:eastAsia="宋体" w:cs="宋体"/>
          <w:bCs/>
          <w:sz w:val="32"/>
          <w:szCs w:val="32"/>
        </w:rPr>
        <w:t xml:space="preserve">JSZC-320281-JZCG-G2025-0087</w:t>
      </w:r>
      <w:r/>
    </w:p>
    <w:p>
      <w:pPr>
        <w:ind w:firstLine="964"/>
        <w:keepLines/>
        <w:keepNext/>
        <w:spacing w:line="360" w:lineRule="auto"/>
        <w:rPr>
          <w:rFonts w:ascii="宋体" w:hAnsi="宋体" w:eastAsia="宋体" w:cs="Times New Roman"/>
          <w:bCs/>
          <w:sz w:val="32"/>
          <w:szCs w:val="32"/>
        </w:rPr>
        <w:outlineLvl w:val="1"/>
      </w:pPr>
      <w:r/>
      <w:bookmarkStart w:id="2" w:name="_Toc311189772"/>
      <w:r/>
      <w:bookmarkStart w:id="3" w:name="_Toc311189701"/>
      <w:r>
        <w:rPr>
          <w:rFonts w:hint="eastAsia" w:ascii="宋体" w:hAnsi="宋体" w:eastAsia="宋体" w:cs="Times New Roman"/>
          <w:b/>
          <w:bCs/>
          <w:sz w:val="32"/>
          <w:szCs w:val="32"/>
        </w:rPr>
        <w:t xml:space="preserve">集中采</w:t>
      </w:r>
      <w:r>
        <w:rPr>
          <w:rFonts w:hint="eastAsia" w:ascii="宋体" w:hAnsi="宋体" w:eastAsia="宋体" w:cs="宋体"/>
          <w:b/>
          <w:bCs/>
          <w:sz w:val="32"/>
          <w:szCs w:val="32"/>
        </w:rPr>
        <w:t xml:space="preserve">购</w:t>
      </w:r>
      <w:r>
        <w:rPr>
          <w:rFonts w:hint="eastAsia" w:ascii="宋体" w:hAnsi="宋体" w:eastAsia="宋体" w:cs="Batang"/>
          <w:b/>
          <w:bCs/>
          <w:sz w:val="32"/>
          <w:szCs w:val="32"/>
        </w:rPr>
        <w:t xml:space="preserve">机</w:t>
      </w:r>
      <w:r>
        <w:rPr>
          <w:rFonts w:hint="eastAsia" w:ascii="宋体" w:hAnsi="宋体" w:eastAsia="宋体" w:cs="宋体"/>
          <w:b/>
          <w:bCs/>
          <w:sz w:val="32"/>
          <w:szCs w:val="32"/>
        </w:rPr>
        <w:t xml:space="preserve">构</w:t>
      </w:r>
      <w:r>
        <w:rPr>
          <w:rFonts w:hint="eastAsia" w:ascii="宋体" w:hAnsi="宋体" w:eastAsia="宋体" w:cs="Times New Roman"/>
          <w:b/>
          <w:bCs/>
          <w:sz w:val="32"/>
          <w:szCs w:val="32"/>
        </w:rPr>
        <w:t xml:space="preserve">: </w:t>
      </w:r>
      <w:r>
        <w:rPr>
          <w:rFonts w:hint="eastAsia" w:ascii="宋体" w:hAnsi="宋体" w:eastAsia="宋体" w:cs="Times New Roman"/>
          <w:bCs/>
          <w:sz w:val="32"/>
          <w:szCs w:val="32"/>
        </w:rPr>
        <w:t xml:space="preserve">江</w:t>
      </w:r>
      <w:r>
        <w:rPr>
          <w:rFonts w:hint="eastAsia" w:ascii="宋体" w:hAnsi="宋体" w:eastAsia="宋体" w:cs="宋体"/>
          <w:bCs/>
          <w:sz w:val="32"/>
          <w:szCs w:val="32"/>
        </w:rPr>
        <w:t xml:space="preserve">阴</w:t>
      </w:r>
      <w:r>
        <w:rPr>
          <w:rFonts w:hint="eastAsia" w:ascii="宋体" w:hAnsi="宋体" w:eastAsia="宋体" w:cs="Batang"/>
          <w:bCs/>
          <w:sz w:val="32"/>
          <w:szCs w:val="32"/>
        </w:rPr>
        <w:t xml:space="preserve">市政</w:t>
      </w:r>
      <w:r>
        <w:rPr>
          <w:rFonts w:hint="eastAsia" w:ascii="宋体" w:hAnsi="宋体" w:eastAsia="宋体" w:cs="Times New Roman"/>
          <w:bCs/>
          <w:sz w:val="32"/>
          <w:szCs w:val="32"/>
        </w:rPr>
        <w:t xml:space="preserve">府采</w:t>
      </w:r>
      <w:r>
        <w:rPr>
          <w:rFonts w:hint="eastAsia" w:ascii="宋体" w:hAnsi="宋体" w:eastAsia="宋体" w:cs="宋体"/>
          <w:bCs/>
          <w:sz w:val="32"/>
          <w:szCs w:val="32"/>
        </w:rPr>
        <w:t xml:space="preserve">购</w:t>
      </w:r>
      <w:r>
        <w:rPr>
          <w:rFonts w:hint="eastAsia" w:ascii="宋体" w:hAnsi="宋体" w:eastAsia="宋体" w:cs="Batang"/>
          <w:bCs/>
          <w:sz w:val="32"/>
          <w:szCs w:val="32"/>
        </w:rPr>
        <w:t xml:space="preserve">中心</w:t>
      </w:r>
      <w:bookmarkEnd w:id="2"/>
      <w:r/>
      <w:bookmarkEnd w:id="3"/>
      <w:r/>
      <w:r/>
    </w:p>
    <w:p>
      <w:pPr>
        <w:jc w:val="center"/>
        <w:rPr>
          <w:rFonts w:ascii="宋体" w:hAnsi="宋体" w:eastAsia="宋体" w:cs="Times New Roman"/>
          <w:bCs/>
          <w:sz w:val="48"/>
          <w:szCs w:val="24"/>
        </w:rPr>
      </w:pPr>
      <w:r>
        <w:rPr>
          <w:rFonts w:ascii="宋体" w:hAnsi="宋体" w:eastAsia="宋体" w:cs="Times New Roman"/>
          <w:bCs/>
          <w:sz w:val="48"/>
          <w:szCs w:val="24"/>
        </w:rPr>
      </w:r>
      <w:r/>
    </w:p>
    <w:p>
      <w:pPr>
        <w:jc w:val="center"/>
        <w:rPr>
          <w:rFonts w:ascii="宋体" w:hAnsi="宋体" w:eastAsia="宋体" w:cs="Times New Roman"/>
          <w:bCs/>
          <w:sz w:val="48"/>
          <w:szCs w:val="24"/>
        </w:rPr>
      </w:pPr>
      <w:r>
        <w:rPr>
          <w:rFonts w:ascii="宋体" w:hAnsi="宋体" w:eastAsia="宋体" w:cs="Times New Roman"/>
          <w:bCs/>
          <w:sz w:val="48"/>
          <w:szCs w:val="24"/>
        </w:rPr>
      </w:r>
      <w:r/>
    </w:p>
    <w:p>
      <w:pPr>
        <w:jc w:val="center"/>
        <w:rPr>
          <w:rFonts w:ascii="宋体" w:hAnsi="宋体" w:eastAsia="宋体" w:cs="Times New Roman"/>
          <w:bCs/>
          <w:sz w:val="48"/>
          <w:szCs w:val="24"/>
        </w:rPr>
      </w:pPr>
      <w:r>
        <w:rPr>
          <w:rFonts w:ascii="宋体" w:hAnsi="宋体" w:eastAsia="宋体" w:cs="Times New Roman"/>
          <w:bCs/>
          <w:sz w:val="48"/>
          <w:szCs w:val="24"/>
        </w:rPr>
      </w:r>
      <w:r/>
    </w:p>
    <w:p>
      <w:pPr>
        <w:jc w:val="center"/>
        <w:rPr>
          <w:rFonts w:ascii="宋体" w:hAnsi="宋体" w:eastAsia="宋体" w:cs="Times New Roman"/>
          <w:bCs/>
          <w:sz w:val="48"/>
          <w:szCs w:val="24"/>
        </w:rPr>
      </w:pPr>
      <w:r>
        <w:rPr>
          <w:rFonts w:ascii="宋体" w:hAnsi="宋体" w:eastAsia="宋体" w:cs="Times New Roman"/>
          <w:bCs/>
          <w:sz w:val="48"/>
          <w:szCs w:val="24"/>
        </w:rPr>
      </w:r>
      <w:r/>
    </w:p>
    <w:p>
      <w:pPr>
        <w:jc w:val="center"/>
        <w:rPr>
          <w:rFonts w:ascii="宋体" w:hAnsi="宋体" w:eastAsia="宋体" w:cs="Times New Roman"/>
          <w:bCs/>
          <w:sz w:val="48"/>
          <w:szCs w:val="24"/>
        </w:rPr>
        <w:sectPr>
          <w:headerReference w:type="default" r:id="rId9"/>
          <w:footerReference w:type="default" r:id="rId10"/>
          <w:footnotePr/>
          <w:endnotePr/>
          <w:type w:val="nextPage"/>
          <w:pgSz w:w="11906" w:h="16838" w:orient="portrait"/>
          <w:pgMar w:top="1247" w:right="1247" w:bottom="1247" w:left="1247" w:header="851" w:footer="992" w:gutter="0"/>
          <w:cols w:num="1" w:sep="0" w:space="425" w:equalWidth="1"/>
          <w:docGrid w:linePitch="360"/>
          <w:titlePg/>
        </w:sectPr>
      </w:pPr>
      <w:r>
        <w:rPr>
          <w:rFonts w:hint="eastAsia" w:ascii="宋体" w:hAnsi="宋体" w:eastAsia="宋体" w:cs="Times New Roman"/>
          <w:bCs/>
          <w:sz w:val="48"/>
          <w:szCs w:val="24"/>
        </w:rPr>
        <w:t xml:space="preserve">二○二五年十一月</w:t>
      </w:r>
      <w:r/>
    </w:p>
    <w:p>
      <w:pPr>
        <w:jc w:val="center"/>
        <w:spacing w:line="360" w:lineRule="auto"/>
        <w:rPr>
          <w:rFonts w:ascii="黑体" w:hAnsi="Times New Roman" w:eastAsia="黑体" w:cs="Times New Roman"/>
          <w:bCs/>
          <w:sz w:val="44"/>
          <w:szCs w:val="44"/>
        </w:rPr>
      </w:pPr>
      <w:r>
        <w:rPr>
          <w:rFonts w:ascii="黑体" w:hAnsi="Times New Roman" w:eastAsia="黑体" w:cs="Times New Roman"/>
          <w:bCs/>
          <w:sz w:val="44"/>
          <w:szCs w:val="44"/>
        </w:rPr>
      </w:r>
      <w:r/>
    </w:p>
    <w:p>
      <w:pPr>
        <w:jc w:val="center"/>
        <w:spacing w:line="360" w:lineRule="auto"/>
        <w:rPr>
          <w:rFonts w:ascii="黑体" w:hAnsi="Times New Roman" w:eastAsia="黑体" w:cs="Times New Roman"/>
          <w:bCs/>
          <w:sz w:val="44"/>
          <w:szCs w:val="44"/>
        </w:rPr>
      </w:pPr>
      <w:r>
        <w:rPr>
          <w:rFonts w:hint="eastAsia" w:ascii="黑体" w:hAnsi="Times New Roman" w:eastAsia="黑体" w:cs="Times New Roman"/>
          <w:bCs/>
          <w:sz w:val="44"/>
          <w:szCs w:val="44"/>
        </w:rPr>
        <w:t xml:space="preserve">总　目　录</w:t>
      </w:r>
      <w:r/>
    </w:p>
    <w:p>
      <w:pPr>
        <w:jc w:val="center"/>
        <w:spacing w:line="360" w:lineRule="auto"/>
        <w:rPr>
          <w:rFonts w:ascii="黑体" w:hAnsi="Times New Roman" w:eastAsia="黑体" w:cs="Times New Roman"/>
          <w:bCs/>
          <w:sz w:val="44"/>
          <w:szCs w:val="44"/>
        </w:rPr>
      </w:pPr>
      <w:r>
        <w:rPr>
          <w:rFonts w:ascii="黑体" w:hAnsi="Times New Roman" w:eastAsia="黑体" w:cs="Times New Roman"/>
          <w:bCs/>
          <w:sz w:val="44"/>
          <w:szCs w:val="44"/>
        </w:rPr>
      </w:r>
      <w:r/>
    </w:p>
    <w:p>
      <w:pPr>
        <w:pStyle w:val="868"/>
        <w:spacing w:line="600" w:lineRule="exact"/>
        <w:tabs>
          <w:tab w:val="right" w:pos="9402" w:leader="dot"/>
        </w:tabs>
        <w:rPr>
          <w:sz w:val="30"/>
          <w:szCs w:val="30"/>
        </w:rPr>
      </w:pPr>
      <w:r>
        <w:rPr>
          <w:rFonts w:ascii="宋体" w:hAnsi="宋体" w:eastAsia="宋体" w:cs="Times New Roman"/>
          <w:bCs w:val="0"/>
          <w:sz w:val="30"/>
          <w:szCs w:val="30"/>
        </w:rPr>
        <w:fldChar w:fldCharType="begin"/>
      </w:r>
      <w:r>
        <w:rPr>
          <w:rFonts w:ascii="宋体" w:hAnsi="宋体" w:eastAsia="宋体" w:cs="Times New Roman"/>
          <w:bCs w:val="0"/>
          <w:sz w:val="30"/>
          <w:szCs w:val="30"/>
        </w:rPr>
        <w:instrText xml:space="preserve"> </w:instrText>
      </w:r>
      <w:r>
        <w:rPr>
          <w:rFonts w:hint="eastAsia" w:ascii="宋体" w:hAnsi="宋体" w:eastAsia="宋体" w:cs="Times New Roman"/>
          <w:bCs w:val="0"/>
          <w:sz w:val="30"/>
          <w:szCs w:val="30"/>
        </w:rPr>
        <w:instrText xml:space="preserve">TOC \o "1-1" \h \z \u</w:instrText>
      </w:r>
      <w:r>
        <w:rPr>
          <w:rFonts w:ascii="宋体" w:hAnsi="宋体" w:eastAsia="宋体" w:cs="Times New Roman"/>
          <w:bCs w:val="0"/>
          <w:sz w:val="30"/>
          <w:szCs w:val="30"/>
        </w:rPr>
        <w:instrText xml:space="preserve"> </w:instrText>
      </w:r>
      <w:r>
        <w:rPr>
          <w:rFonts w:ascii="宋体" w:hAnsi="宋体" w:eastAsia="宋体" w:cs="Times New Roman"/>
          <w:bCs w:val="0"/>
          <w:sz w:val="30"/>
          <w:szCs w:val="30"/>
        </w:rPr>
        <w:fldChar w:fldCharType="separate"/>
      </w:r>
      <w:hyperlink w:tooltip="#_Toc14198" w:anchor="_Toc14198" w:history="1">
        <w:r>
          <w:rPr>
            <w:rFonts w:hint="eastAsia"/>
            <w:sz w:val="30"/>
            <w:szCs w:val="30"/>
          </w:rPr>
          <w:t xml:space="preserve">第一章　投标邀请</w:t>
        </w:r>
        <w:r>
          <w:rPr>
            <w:sz w:val="30"/>
            <w:szCs w:val="30"/>
          </w:rPr>
          <w:tab/>
        </w:r>
        <w:r>
          <w:rPr>
            <w:sz w:val="30"/>
            <w:szCs w:val="30"/>
          </w:rPr>
          <w:fldChar w:fldCharType="begin"/>
        </w:r>
        <w:r>
          <w:rPr>
            <w:sz w:val="30"/>
            <w:szCs w:val="30"/>
          </w:rPr>
          <w:instrText xml:space="preserve"> PAGEREF _Toc14198 \h </w:instrText>
        </w:r>
        <w:r>
          <w:rPr>
            <w:sz w:val="30"/>
            <w:szCs w:val="30"/>
          </w:rPr>
        </w:r>
        <w:r>
          <w:rPr>
            <w:sz w:val="30"/>
            <w:szCs w:val="30"/>
          </w:rPr>
          <w:fldChar w:fldCharType="separate"/>
        </w:r>
        <w:r>
          <w:rPr>
            <w:rFonts w:hint="eastAsia"/>
            <w:sz w:val="30"/>
            <w:szCs w:val="30"/>
          </w:rPr>
          <w:t xml:space="preserve">3</w:t>
        </w:r>
        <w:r>
          <w:rPr>
            <w:sz w:val="30"/>
            <w:szCs w:val="30"/>
          </w:rPr>
        </w:r>
        <w:r>
          <w:rPr>
            <w:sz w:val="30"/>
            <w:szCs w:val="30"/>
          </w:rPr>
          <w:fldChar w:fldCharType="end"/>
        </w:r>
      </w:hyperlink>
      <w:r/>
      <w:r/>
    </w:p>
    <w:p>
      <w:pPr>
        <w:pStyle w:val="868"/>
        <w:spacing w:line="600" w:lineRule="exact"/>
        <w:tabs>
          <w:tab w:val="right" w:pos="9402" w:leader="dot"/>
        </w:tabs>
        <w:rPr>
          <w:sz w:val="30"/>
          <w:szCs w:val="30"/>
        </w:rPr>
      </w:pPr>
      <w:r/>
      <w:hyperlink w:tooltip="#_Toc13482" w:anchor="_Toc13482" w:history="1">
        <w:r>
          <w:rPr>
            <w:rFonts w:hint="eastAsia"/>
            <w:sz w:val="30"/>
            <w:szCs w:val="30"/>
          </w:rPr>
          <w:t xml:space="preserve">第二章　投标人须知</w:t>
        </w:r>
        <w:r>
          <w:rPr>
            <w:sz w:val="30"/>
            <w:szCs w:val="30"/>
          </w:rPr>
          <w:tab/>
        </w:r>
        <w:r>
          <w:rPr>
            <w:sz w:val="30"/>
            <w:szCs w:val="30"/>
          </w:rPr>
          <w:fldChar w:fldCharType="begin"/>
        </w:r>
        <w:r>
          <w:rPr>
            <w:sz w:val="30"/>
            <w:szCs w:val="30"/>
          </w:rPr>
          <w:instrText xml:space="preserve"> PAGEREF _Toc13482 \h </w:instrText>
        </w:r>
        <w:r>
          <w:rPr>
            <w:sz w:val="30"/>
            <w:szCs w:val="30"/>
          </w:rPr>
        </w:r>
        <w:r>
          <w:rPr>
            <w:sz w:val="30"/>
            <w:szCs w:val="30"/>
          </w:rPr>
          <w:fldChar w:fldCharType="separate"/>
        </w:r>
        <w:r>
          <w:rPr>
            <w:rFonts w:hint="eastAsia"/>
            <w:sz w:val="30"/>
            <w:szCs w:val="30"/>
          </w:rPr>
          <w:t xml:space="preserve">6</w:t>
        </w:r>
        <w:r>
          <w:rPr>
            <w:sz w:val="30"/>
            <w:szCs w:val="30"/>
          </w:rPr>
        </w:r>
        <w:r>
          <w:rPr>
            <w:sz w:val="30"/>
            <w:szCs w:val="30"/>
          </w:rPr>
          <w:fldChar w:fldCharType="end"/>
        </w:r>
      </w:hyperlink>
      <w:r/>
      <w:r/>
    </w:p>
    <w:p>
      <w:pPr>
        <w:pStyle w:val="868"/>
        <w:spacing w:line="600" w:lineRule="exact"/>
        <w:tabs>
          <w:tab w:val="right" w:pos="9402" w:leader="dot"/>
        </w:tabs>
        <w:rPr>
          <w:sz w:val="30"/>
          <w:szCs w:val="30"/>
        </w:rPr>
      </w:pPr>
      <w:r/>
      <w:hyperlink w:tooltip="#_Toc13413" w:anchor="_Toc13413" w:history="1">
        <w:r>
          <w:rPr>
            <w:rFonts w:hint="eastAsia"/>
            <w:sz w:val="30"/>
            <w:szCs w:val="30"/>
          </w:rPr>
          <w:t xml:space="preserve">第三章　项目要求和有关说明</w:t>
        </w:r>
        <w:r>
          <w:rPr>
            <w:sz w:val="30"/>
            <w:szCs w:val="30"/>
          </w:rPr>
          <w:tab/>
        </w:r>
        <w:r>
          <w:rPr>
            <w:sz w:val="30"/>
            <w:szCs w:val="30"/>
          </w:rPr>
          <w:fldChar w:fldCharType="begin"/>
        </w:r>
        <w:r>
          <w:rPr>
            <w:sz w:val="30"/>
            <w:szCs w:val="30"/>
          </w:rPr>
          <w:instrText xml:space="preserve"> PAGEREF _Toc13413 \h </w:instrText>
        </w:r>
        <w:r>
          <w:rPr>
            <w:sz w:val="30"/>
            <w:szCs w:val="30"/>
          </w:rPr>
        </w:r>
        <w:r>
          <w:rPr>
            <w:sz w:val="30"/>
            <w:szCs w:val="30"/>
          </w:rPr>
          <w:fldChar w:fldCharType="separate"/>
        </w:r>
        <w:r>
          <w:rPr>
            <w:rFonts w:hint="eastAsia"/>
            <w:sz w:val="30"/>
            <w:szCs w:val="30"/>
          </w:rPr>
          <w:t xml:space="preserve">18</w:t>
        </w:r>
        <w:r>
          <w:rPr>
            <w:sz w:val="30"/>
            <w:szCs w:val="30"/>
          </w:rPr>
        </w:r>
        <w:r>
          <w:rPr>
            <w:sz w:val="30"/>
            <w:szCs w:val="30"/>
          </w:rPr>
          <w:fldChar w:fldCharType="end"/>
        </w:r>
      </w:hyperlink>
      <w:r/>
      <w:r/>
    </w:p>
    <w:p>
      <w:pPr>
        <w:pStyle w:val="868"/>
        <w:spacing w:line="600" w:lineRule="exact"/>
        <w:tabs>
          <w:tab w:val="right" w:pos="9402" w:leader="dot"/>
        </w:tabs>
        <w:rPr>
          <w:sz w:val="30"/>
          <w:szCs w:val="30"/>
        </w:rPr>
      </w:pPr>
      <w:r/>
      <w:hyperlink w:tooltip="#_Toc10076" w:anchor="_Toc10076" w:history="1">
        <w:r>
          <w:rPr>
            <w:rFonts w:hint="eastAsia"/>
            <w:sz w:val="30"/>
            <w:szCs w:val="30"/>
          </w:rPr>
          <w:t xml:space="preserve">第四章　评标方法和评标标准</w:t>
        </w:r>
        <w:r>
          <w:rPr>
            <w:sz w:val="30"/>
            <w:szCs w:val="30"/>
          </w:rPr>
          <w:tab/>
        </w:r>
        <w:r>
          <w:rPr>
            <w:sz w:val="30"/>
            <w:szCs w:val="30"/>
          </w:rPr>
          <w:fldChar w:fldCharType="begin"/>
        </w:r>
        <w:r>
          <w:rPr>
            <w:sz w:val="30"/>
            <w:szCs w:val="30"/>
          </w:rPr>
          <w:instrText xml:space="preserve"> PAGEREF _Toc10076 \h </w:instrText>
        </w:r>
        <w:r>
          <w:rPr>
            <w:sz w:val="30"/>
            <w:szCs w:val="30"/>
          </w:rPr>
        </w:r>
        <w:r>
          <w:rPr>
            <w:sz w:val="30"/>
            <w:szCs w:val="30"/>
          </w:rPr>
          <w:fldChar w:fldCharType="separate"/>
        </w:r>
        <w:r>
          <w:rPr>
            <w:rFonts w:hint="eastAsia"/>
            <w:sz w:val="30"/>
            <w:szCs w:val="30"/>
          </w:rPr>
          <w:t xml:space="preserve">78</w:t>
        </w:r>
        <w:r>
          <w:rPr>
            <w:sz w:val="30"/>
            <w:szCs w:val="30"/>
          </w:rPr>
        </w:r>
        <w:r>
          <w:rPr>
            <w:sz w:val="30"/>
            <w:szCs w:val="30"/>
          </w:rPr>
          <w:fldChar w:fldCharType="end"/>
        </w:r>
      </w:hyperlink>
      <w:r/>
      <w:r/>
    </w:p>
    <w:p>
      <w:pPr>
        <w:pStyle w:val="868"/>
        <w:spacing w:line="600" w:lineRule="exact"/>
        <w:tabs>
          <w:tab w:val="right" w:pos="9402" w:leader="dot"/>
        </w:tabs>
        <w:rPr>
          <w:sz w:val="30"/>
          <w:szCs w:val="30"/>
        </w:rPr>
      </w:pPr>
      <w:r/>
      <w:hyperlink w:tooltip="#_Toc12146" w:anchor="_Toc12146" w:history="1">
        <w:r>
          <w:rPr>
            <w:rFonts w:hint="eastAsia"/>
            <w:sz w:val="30"/>
            <w:szCs w:val="30"/>
          </w:rPr>
          <w:t xml:space="preserve">第五章　合同书（格式）</w:t>
        </w:r>
        <w:r>
          <w:rPr>
            <w:sz w:val="30"/>
            <w:szCs w:val="30"/>
          </w:rPr>
          <w:tab/>
        </w:r>
        <w:r>
          <w:rPr>
            <w:sz w:val="30"/>
            <w:szCs w:val="30"/>
          </w:rPr>
          <w:fldChar w:fldCharType="begin"/>
        </w:r>
        <w:r>
          <w:rPr>
            <w:sz w:val="30"/>
            <w:szCs w:val="30"/>
          </w:rPr>
          <w:instrText xml:space="preserve"> PAGEREF _Toc12146 \h </w:instrText>
        </w:r>
        <w:r>
          <w:rPr>
            <w:sz w:val="30"/>
            <w:szCs w:val="30"/>
          </w:rPr>
        </w:r>
        <w:r>
          <w:rPr>
            <w:sz w:val="30"/>
            <w:szCs w:val="30"/>
          </w:rPr>
          <w:fldChar w:fldCharType="separate"/>
        </w:r>
        <w:r>
          <w:rPr>
            <w:rFonts w:hint="eastAsia"/>
            <w:sz w:val="30"/>
            <w:szCs w:val="30"/>
          </w:rPr>
          <w:t xml:space="preserve">82</w:t>
        </w:r>
        <w:r>
          <w:rPr>
            <w:sz w:val="30"/>
            <w:szCs w:val="30"/>
          </w:rPr>
        </w:r>
        <w:r>
          <w:rPr>
            <w:sz w:val="30"/>
            <w:szCs w:val="30"/>
          </w:rPr>
          <w:fldChar w:fldCharType="end"/>
        </w:r>
      </w:hyperlink>
      <w:r/>
      <w:r/>
    </w:p>
    <w:p>
      <w:pPr>
        <w:pStyle w:val="868"/>
        <w:spacing w:line="600" w:lineRule="exact"/>
        <w:tabs>
          <w:tab w:val="right" w:pos="9402" w:leader="dot"/>
        </w:tabs>
      </w:pPr>
      <w:r/>
      <w:hyperlink w:tooltip="#_Toc3567" w:anchor="_Toc3567" w:history="1">
        <w:r>
          <w:rPr>
            <w:rFonts w:hint="eastAsia"/>
            <w:sz w:val="30"/>
            <w:szCs w:val="30"/>
          </w:rPr>
          <w:t xml:space="preserve">第六章　投标文件的组成和格式</w:t>
        </w:r>
        <w:r>
          <w:rPr>
            <w:sz w:val="30"/>
            <w:szCs w:val="30"/>
          </w:rPr>
          <w:tab/>
        </w:r>
        <w:r>
          <w:rPr>
            <w:sz w:val="30"/>
            <w:szCs w:val="30"/>
          </w:rPr>
          <w:fldChar w:fldCharType="begin"/>
        </w:r>
        <w:r>
          <w:rPr>
            <w:sz w:val="30"/>
            <w:szCs w:val="30"/>
          </w:rPr>
          <w:instrText xml:space="preserve"> PAGEREF _Toc3567 \h </w:instrText>
        </w:r>
        <w:r>
          <w:rPr>
            <w:sz w:val="30"/>
            <w:szCs w:val="30"/>
          </w:rPr>
        </w:r>
        <w:r>
          <w:rPr>
            <w:sz w:val="30"/>
            <w:szCs w:val="30"/>
          </w:rPr>
          <w:fldChar w:fldCharType="separate"/>
        </w:r>
        <w:r>
          <w:rPr>
            <w:rFonts w:hint="eastAsia"/>
            <w:sz w:val="30"/>
            <w:szCs w:val="30"/>
          </w:rPr>
          <w:t xml:space="preserve">86</w:t>
        </w:r>
        <w:r>
          <w:rPr>
            <w:sz w:val="30"/>
            <w:szCs w:val="30"/>
          </w:rPr>
        </w:r>
        <w:r>
          <w:rPr>
            <w:sz w:val="30"/>
            <w:szCs w:val="30"/>
          </w:rPr>
          <w:fldChar w:fldCharType="end"/>
        </w:r>
      </w:hyperlink>
      <w:r/>
      <w:r/>
    </w:p>
    <w:p>
      <w:pPr>
        <w:pStyle w:val="873"/>
        <w:spacing w:before="120" w:after="120" w:line="600" w:lineRule="exact"/>
        <w:sectPr>
          <w:footerReference w:type="even" r:id="rId11"/>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zCs w:val="30"/>
        </w:rPr>
        <w:fldChar w:fldCharType="end"/>
      </w:r>
      <w:bookmarkStart w:id="4" w:name="_Toc166593155"/>
      <w:r/>
      <w:bookmarkStart w:id="5" w:name="_Toc166593357"/>
      <w:r/>
      <w:r/>
    </w:p>
    <w:p>
      <w:pPr>
        <w:pStyle w:val="873"/>
        <w:outlineLvl w:val="9"/>
      </w:pPr>
      <w:r/>
      <w:r/>
    </w:p>
    <w:p>
      <w:pPr>
        <w:pStyle w:val="873"/>
      </w:pPr>
      <w:r/>
      <w:bookmarkStart w:id="6" w:name="_Toc14198"/>
      <w:r>
        <w:rPr>
          <w:rFonts w:hint="eastAsia"/>
        </w:rPr>
        <w:t xml:space="preserve">第一章　投标邀请</w:t>
      </w:r>
      <w:bookmarkEnd w:id="4"/>
      <w:r/>
      <w:bookmarkEnd w:id="5"/>
      <w:r/>
      <w:bookmarkEnd w:id="6"/>
      <w:r/>
      <w:r/>
    </w:p>
    <w:p>
      <w:pPr>
        <w:jc w:val="cente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
          <w:sz w:val="24"/>
          <w:szCs w:val="24"/>
        </w:rPr>
        <w:pBdr>
          <w:top w:val="single" w:color="auto" w:sz="4" w:space="1"/>
          <w:left w:val="single" w:color="auto" w:sz="4" w:space="4"/>
          <w:bottom w:val="single" w:color="auto" w:sz="4" w:space="1"/>
          <w:right w:val="single" w:color="auto" w:sz="4" w:space="4"/>
        </w:pBdr>
      </w:pPr>
      <w:r>
        <w:rPr>
          <w:rFonts w:ascii="宋体" w:hAnsi="宋体" w:eastAsia="宋体" w:cs="Times New Roman"/>
          <w:b/>
          <w:sz w:val="24"/>
          <w:szCs w:val="24"/>
        </w:rPr>
        <w:t xml:space="preserve">项目概况</w:t>
      </w:r>
      <w:r/>
    </w:p>
    <w:p>
      <w:pPr>
        <w:ind w:firstLine="480"/>
        <w:spacing w:line="400" w:lineRule="exact"/>
        <w:rPr>
          <w:rFonts w:ascii="宋体" w:hAnsi="宋体" w:eastAsia="宋体" w:cs="Times New Roman"/>
          <w:sz w:val="24"/>
          <w:szCs w:val="24"/>
        </w:rPr>
        <w:pBdr>
          <w:top w:val="single" w:color="auto" w:sz="4" w:space="1"/>
          <w:left w:val="single" w:color="auto" w:sz="4" w:space="4"/>
          <w:bottom w:val="single" w:color="auto" w:sz="4" w:space="1"/>
          <w:right w:val="single" w:color="auto" w:sz="4" w:space="4"/>
        </w:pBdr>
      </w:pPr>
      <w:r>
        <w:rPr>
          <w:rFonts w:hint="eastAsia" w:ascii="宋体" w:hAnsi="宋体" w:eastAsia="宋体" w:cs="Times New Roman"/>
          <w:sz w:val="24"/>
          <w:szCs w:val="24"/>
        </w:rPr>
        <w:t xml:space="preserve">江阴市第三人民医院四级电子病历升级改造项目</w:t>
      </w:r>
      <w:r>
        <w:rPr>
          <w:rFonts w:hint="eastAsia" w:ascii="宋体" w:hAnsi="宋体" w:eastAsia="宋体" w:cs="Times New Roman"/>
          <w:bCs/>
          <w:sz w:val="24"/>
          <w:szCs w:val="24"/>
        </w:rPr>
        <w:t xml:space="preserve">JSZC-320281-JZCG-G2025-0087</w:t>
      </w:r>
      <w:r>
        <w:rPr>
          <w:rFonts w:ascii="宋体" w:hAnsi="宋体" w:eastAsia="宋体" w:cs="Times New Roman"/>
          <w:sz w:val="24"/>
          <w:szCs w:val="24"/>
        </w:rPr>
        <w:t xml:space="preserve"> 招标项目的潜在投标人应在</w:t>
      </w:r>
      <w:r>
        <w:rPr>
          <w:rFonts w:hint="eastAsia" w:ascii="宋体" w:hAnsi="宋体" w:eastAsia="宋体" w:cs="Times New Roman"/>
          <w:sz w:val="24"/>
          <w:szCs w:val="24"/>
        </w:rPr>
        <w:t xml:space="preserve">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w:t>
      </w:r>
      <w:r>
        <w:rPr>
          <w:rFonts w:ascii="宋体" w:hAnsi="宋体" w:eastAsia="宋体" w:cs="Times New Roman"/>
          <w:sz w:val="24"/>
          <w:szCs w:val="24"/>
        </w:rPr>
        <w:t xml:space="preserve">获取招标文件，并</w:t>
      </w:r>
      <w:r>
        <w:rPr>
          <w:rFonts w:hint="eastAsia" w:ascii="宋体" w:hAnsi="宋体" w:eastAsia="宋体" w:cs="Times New Roman"/>
          <w:sz w:val="24"/>
          <w:szCs w:val="24"/>
        </w:rPr>
        <w:t xml:space="preserve">于</w:t>
      </w:r>
      <w:r>
        <w:rPr>
          <w:rFonts w:ascii="宋体" w:hAnsi="宋体" w:eastAsia="宋体" w:cs="Times New Roman"/>
          <w:sz w:val="24"/>
          <w:szCs w:val="24"/>
        </w:rPr>
        <w:t xml:space="preserve">202</w:t>
      </w:r>
      <w:r>
        <w:rPr>
          <w:rFonts w:hint="eastAsia" w:ascii="宋体" w:hAnsi="宋体" w:eastAsia="宋体" w:cs="Times New Roman"/>
          <w:sz w:val="24"/>
          <w:szCs w:val="24"/>
        </w:rPr>
        <w:t xml:space="preserve">5</w:t>
      </w:r>
      <w:r>
        <w:rPr>
          <w:rFonts w:ascii="宋体" w:hAnsi="宋体" w:eastAsia="宋体" w:cs="Times New Roman"/>
          <w:sz w:val="24"/>
          <w:szCs w:val="24"/>
        </w:rPr>
        <w:t xml:space="preserve">-12</w:t>
      </w:r>
      <w:r>
        <w:rPr>
          <w:rFonts w:ascii="宋体" w:hAnsi="宋体" w:eastAsia="宋体" w:cs="Times New Roman"/>
          <w:sz w:val="24"/>
          <w:szCs w:val="24"/>
        </w:rPr>
        <w:t xml:space="preserve">-18</w:t>
      </w:r>
      <w:r>
        <w:rPr>
          <w:rFonts w:hint="eastAsia" w:ascii="宋体" w:hAnsi="宋体" w:eastAsia="宋体" w:cs="Times New Roman"/>
          <w:sz w:val="24"/>
          <w:szCs w:val="24"/>
        </w:rPr>
        <w:t xml:space="preserve">   13</w:t>
      </w:r>
      <w:r>
        <w:rPr>
          <w:rFonts w:ascii="宋体" w:hAnsi="宋体" w:eastAsia="宋体" w:cs="Times New Roman"/>
          <w:sz w:val="24"/>
          <w:szCs w:val="24"/>
        </w:rPr>
        <w:t xml:space="preserve">:</w:t>
      </w:r>
      <w:r>
        <w:rPr>
          <w:rFonts w:hint="eastAsia" w:ascii="宋体" w:hAnsi="宋体" w:eastAsia="宋体" w:cs="Times New Roman"/>
          <w:sz w:val="24"/>
          <w:szCs w:val="24"/>
        </w:rPr>
        <w:t xml:space="preserve">3</w:t>
      </w:r>
      <w:r>
        <w:rPr>
          <w:rFonts w:ascii="宋体" w:hAnsi="宋体" w:eastAsia="宋体" w:cs="Times New Roman"/>
          <w:sz w:val="24"/>
          <w:szCs w:val="24"/>
        </w:rPr>
        <w:t xml:space="preserve">0 （北京时间）前递交投标文件。</w:t>
      </w:r>
      <w:r/>
    </w:p>
    <w:p>
      <w:pPr>
        <w:spacing w:line="400" w:lineRule="exact"/>
        <w:rPr>
          <w:rFonts w:ascii="宋体" w:hAnsi="宋体" w:eastAsia="宋体" w:cs="Times New Roman"/>
          <w:b/>
          <w:sz w:val="24"/>
          <w:szCs w:val="24"/>
        </w:rPr>
      </w:pPr>
      <w:r/>
      <w:bookmarkStart w:id="7" w:name="_Toc166593358"/>
      <w:r/>
      <w:bookmarkStart w:id="8" w:name="_Toc166593156"/>
      <w:r/>
      <w:r/>
    </w:p>
    <w:p>
      <w:pPr>
        <w:spacing w:line="400" w:lineRule="exact"/>
        <w:rPr>
          <w:rFonts w:ascii="宋体" w:hAnsi="宋体" w:eastAsia="宋体" w:cs="Times New Roman"/>
          <w:sz w:val="24"/>
          <w:szCs w:val="24"/>
        </w:rPr>
      </w:pPr>
      <w:r>
        <w:rPr>
          <w:rFonts w:ascii="宋体" w:hAnsi="宋体" w:eastAsia="宋体" w:cs="Times New Roman"/>
          <w:b/>
          <w:sz w:val="24"/>
          <w:szCs w:val="24"/>
        </w:rPr>
        <w:t xml:space="preserve">一、项目基本情况</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项目编号：</w:t>
      </w:r>
      <w:r>
        <w:rPr>
          <w:rFonts w:hint="eastAsia" w:ascii="宋体" w:hAnsi="宋体" w:eastAsia="宋体" w:cs="Times New Roman"/>
          <w:bCs/>
          <w:sz w:val="24"/>
          <w:szCs w:val="24"/>
        </w:rPr>
        <w:t xml:space="preserve">JSZC-320281-JZCG-G2025-0087</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项目名称：</w:t>
      </w:r>
      <w:r>
        <w:rPr>
          <w:rFonts w:hint="eastAsia" w:ascii="宋体" w:hAnsi="宋体" w:eastAsia="宋体" w:cs="Times New Roman"/>
          <w:sz w:val="24"/>
          <w:szCs w:val="24"/>
        </w:rPr>
        <w:t xml:space="preserve">江阴市第三人民医院四级电子病历升级改造项目</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预算金额：</w:t>
      </w:r>
      <w:r>
        <w:rPr>
          <w:rFonts w:hint="eastAsia" w:ascii="宋体" w:hAnsi="宋体" w:eastAsia="宋体" w:cs="Times New Roman"/>
          <w:sz w:val="24"/>
          <w:szCs w:val="24"/>
        </w:rPr>
        <w:t xml:space="preserve">144.8</w:t>
      </w:r>
      <w:r>
        <w:rPr>
          <w:rFonts w:ascii="宋体" w:hAnsi="宋体" w:eastAsia="宋体" w:cs="Times New Roman"/>
          <w:sz w:val="24"/>
          <w:szCs w:val="24"/>
        </w:rPr>
        <w:t xml:space="preserve">万元</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最高限价：</w:t>
      </w:r>
      <w:r>
        <w:rPr>
          <w:rFonts w:hint="eastAsia" w:ascii="宋体" w:hAnsi="宋体" w:eastAsia="宋体" w:cs="Times New Roman"/>
          <w:sz w:val="24"/>
          <w:szCs w:val="24"/>
        </w:rPr>
        <w:t xml:space="preserve">144.8万元</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采购方式：公开招标</w:t>
      </w:r>
      <w:r/>
    </w:p>
    <w:p>
      <w:pPr>
        <w:ind w:firstLine="480"/>
        <w:spacing w:line="400" w:lineRule="exact"/>
        <w:rPr>
          <w:rFonts w:ascii="宋体" w:hAnsi="宋体" w:eastAsia="宋体" w:cs="Times New Roman"/>
          <w:sz w:val="24"/>
          <w:szCs w:val="28"/>
        </w:rPr>
      </w:pPr>
      <w:r>
        <w:rPr>
          <w:rFonts w:ascii="宋体" w:hAnsi="宋体" w:eastAsia="宋体" w:cs="Times New Roman"/>
          <w:sz w:val="24"/>
          <w:szCs w:val="24"/>
        </w:rPr>
        <w:t xml:space="preserve">采购需求：</w:t>
      </w:r>
      <w:r>
        <w:rPr>
          <w:rFonts w:hint="eastAsia" w:ascii="宋体" w:hAnsi="宋体" w:eastAsia="宋体" w:cs="Times New Roman"/>
          <w:sz w:val="24"/>
          <w:szCs w:val="24"/>
        </w:rPr>
        <w:t xml:space="preserve">本项目为江阴市第三人民医院四级电子病历升级改造项目</w:t>
      </w:r>
      <w:r>
        <w:rPr>
          <w:rFonts w:hint="eastAsia" w:ascii="宋体" w:hAnsi="宋体" w:eastAsia="宋体" w:cs="Times New Roman"/>
          <w:sz w:val="24"/>
          <w:szCs w:val="28"/>
        </w:rPr>
        <w:t xml:space="preserve">。</w:t>
      </w:r>
      <w:r>
        <w:rPr>
          <w:rFonts w:hint="eastAsia" w:ascii="宋体" w:hAnsi="宋体" w:eastAsia="宋体" w:cs="Times New Roman"/>
          <w:bCs/>
          <w:sz w:val="24"/>
          <w:szCs w:val="24"/>
        </w:rPr>
        <w:t xml:space="preserve">（详见招标文件）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合同履行期限：</w:t>
      </w:r>
      <w:r>
        <w:rPr>
          <w:rFonts w:hint="eastAsia" w:ascii="宋体" w:hAnsi="宋体" w:eastAsia="宋体" w:cs="Times New Roman"/>
          <w:sz w:val="24"/>
          <w:szCs w:val="24"/>
        </w:rPr>
        <w:t xml:space="preserve">详见招标文件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本项目（是/否）接受联合体投标</w:t>
      </w: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否</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二、申请人的资格要求</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（一）满足《中华人民共和国政府采购法》第二十二条规定；</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1.提供格式条款《关于资格的声明函》</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2.法定代表人授权委托书（法定代表人签署投标/响应文件</w:t>
      </w:r>
      <w:r>
        <w:rPr>
          <w:rFonts w:hint="eastAsia" w:ascii="宋体" w:hAnsi="宋体" w:eastAsia="宋体" w:cs="Times New Roman"/>
          <w:sz w:val="24"/>
          <w:szCs w:val="24"/>
        </w:rPr>
        <w:t xml:space="preserve">且亲自</w:t>
      </w:r>
      <w:r>
        <w:rPr>
          <w:rFonts w:hint="eastAsia" w:ascii="宋体" w:hAnsi="宋体" w:eastAsia="宋体" w:cs="Times New Roman"/>
          <w:sz w:val="24"/>
          <w:szCs w:val="24"/>
        </w:rPr>
        <w:t xml:space="preserve">参与的必须提供《法定代表人亲自投标/磋商/谈判/询价声明》）</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3.未被“信用中国”网站列入失信被执行人、重大税收违法失信主体、政府采购严重违法失信行为信息记录名单（无需提供证明材料）</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（二）落实政府采购政策需满足的资格要求：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本项目</w:t>
      </w:r>
      <w:r>
        <w:rPr>
          <w:rFonts w:hint="eastAsia" w:ascii="宋体" w:hAnsi="宋体" w:eastAsia="宋体" w:cs="Times New Roman"/>
          <w:sz w:val="24"/>
          <w:szCs w:val="24"/>
        </w:rPr>
        <w:t xml:space="preserve">不</w:t>
      </w:r>
      <w:r>
        <w:rPr>
          <w:rFonts w:hint="eastAsia" w:ascii="宋体" w:hAnsi="宋体" w:eastAsia="宋体" w:cs="Times New Roman"/>
          <w:sz w:val="24"/>
          <w:szCs w:val="24"/>
        </w:rPr>
        <w:t xml:space="preserve">专门面向中小</w:t>
      </w:r>
      <w:r>
        <w:rPr>
          <w:rFonts w:hint="eastAsia" w:ascii="宋体" w:hAnsi="宋体" w:eastAsia="宋体" w:cs="Times New Roman"/>
          <w:sz w:val="24"/>
          <w:szCs w:val="24"/>
        </w:rPr>
        <w:t xml:space="preserve">微企业</w:t>
      </w:r>
      <w:r>
        <w:rPr>
          <w:rFonts w:hint="eastAsia" w:ascii="宋体" w:hAnsi="宋体" w:eastAsia="宋体" w:cs="Times New Roman"/>
          <w:sz w:val="24"/>
          <w:szCs w:val="24"/>
        </w:rPr>
        <w:t xml:space="preserve">采购，执行价格扣除优惠政策，对小</w:t>
      </w:r>
      <w:r>
        <w:rPr>
          <w:rFonts w:hint="eastAsia" w:ascii="宋体" w:hAnsi="宋体" w:eastAsia="宋体" w:cs="Times New Roman"/>
          <w:sz w:val="24"/>
          <w:szCs w:val="24"/>
        </w:rPr>
        <w:t xml:space="preserve">微企业</w:t>
      </w:r>
      <w:r>
        <w:rPr>
          <w:rFonts w:hint="eastAsia" w:ascii="宋体" w:hAnsi="宋体" w:eastAsia="宋体" w:cs="Times New Roman"/>
          <w:sz w:val="24"/>
          <w:szCs w:val="24"/>
        </w:rPr>
        <w:t xml:space="preserve">报价给予20%的扣除。提供《中小企业声明函》（格式见附件）；监狱和戒毒企业视同小型、微型企业，提供由省级以上监狱管理局、戒毒管理局(含新疆生产建设兵团)出具的属于监狱企业的证明文件；残疾人福利性单位视同小型、微型企业，提供《残疾人福利性单位声明函》（格式见附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（三）本项目的特定资格要求：</w:t>
      </w:r>
      <w:r>
        <w:rPr>
          <w:rFonts w:hint="eastAsia" w:ascii="宋体" w:hAnsi="宋体"/>
          <w:sz w:val="24"/>
        </w:rPr>
        <w:t xml:space="preserve">无</w:t>
      </w:r>
      <w:r>
        <w:rPr>
          <w:rFonts w:hint="eastAsia" w:ascii="宋体" w:hAnsi="宋体" w:eastAsia="宋体" w:cs="Times New Roman"/>
          <w:sz w:val="24"/>
          <w:szCs w:val="24"/>
        </w:rPr>
        <w:t xml:space="preserve">。</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三、获取招标文件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时间：</w:t>
      </w:r>
      <w:r>
        <w:rPr>
          <w:rFonts w:hint="eastAsia" w:ascii="宋体" w:hAnsi="宋体" w:eastAsia="宋体" w:cs="Times New Roman"/>
          <w:sz w:val="24"/>
          <w:szCs w:val="24"/>
        </w:rPr>
        <w:t xml:space="preserve">自招标文件公告发布之日起5个工作日</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地点：</w:t>
      </w:r>
      <w:r>
        <w:rPr>
          <w:rFonts w:hint="eastAsia" w:ascii="宋体" w:hAnsi="宋体" w:eastAsia="宋体" w:cs="Times New Roman"/>
          <w:sz w:val="24"/>
          <w:szCs w:val="24"/>
        </w:rPr>
        <w:t xml:space="preserve">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方式：</w:t>
      </w:r>
      <w:r>
        <w:rPr>
          <w:rFonts w:hint="eastAsia" w:ascii="宋体" w:hAnsi="宋体" w:eastAsia="宋体" w:cs="Times New Roman"/>
          <w:sz w:val="24"/>
          <w:szCs w:val="24"/>
        </w:rPr>
        <w:t xml:space="preserve">请有参加意向的供应商在采购文件有效获取期内及时登录江苏省政府采购（苏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）平台下载获取。在采购文件有效获取期限内，从江苏省政府采购（苏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）平台获取的采购文件，视为依法获取的采购文件。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售价：0.00元 </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四、提交投标文件截止时间、开标时间和地点</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202</w:t>
      </w:r>
      <w:r>
        <w:rPr>
          <w:rFonts w:hint="eastAsia" w:ascii="宋体" w:hAnsi="宋体" w:eastAsia="宋体" w:cs="Times New Roman"/>
          <w:sz w:val="24"/>
          <w:szCs w:val="24"/>
        </w:rPr>
        <w:t xml:space="preserve">5</w:t>
      </w:r>
      <w:r>
        <w:rPr>
          <w:rFonts w:ascii="宋体" w:hAnsi="宋体" w:eastAsia="宋体" w:cs="Times New Roman"/>
          <w:sz w:val="24"/>
          <w:szCs w:val="24"/>
        </w:rPr>
        <w:t xml:space="preserve">-</w:t>
      </w:r>
      <w:r>
        <w:rPr>
          <w:rFonts w:hint="eastAsia" w:ascii="宋体" w:hAnsi="宋体" w:eastAsia="宋体" w:cs="Times New Roman"/>
          <w:sz w:val="24"/>
          <w:szCs w:val="24"/>
        </w:rPr>
        <w:t xml:space="preserve">12</w:t>
      </w:r>
      <w:r>
        <w:rPr>
          <w:rFonts w:ascii="宋体" w:hAnsi="宋体" w:eastAsia="宋体" w:cs="Times New Roman"/>
          <w:sz w:val="24"/>
          <w:szCs w:val="24"/>
        </w:rPr>
        <w:t xml:space="preserve">-</w:t>
      </w:r>
      <w:r>
        <w:rPr>
          <w:rFonts w:hint="eastAsia" w:ascii="宋体" w:hAnsi="宋体" w:eastAsia="宋体" w:cs="Times New Roman"/>
          <w:sz w:val="24"/>
          <w:szCs w:val="24"/>
        </w:rPr>
        <w:t xml:space="preserve">18  13</w:t>
      </w:r>
      <w:r>
        <w:rPr>
          <w:rFonts w:ascii="宋体" w:hAnsi="宋体" w:eastAsia="宋体" w:cs="Times New Roman"/>
          <w:sz w:val="24"/>
          <w:szCs w:val="24"/>
        </w:rPr>
        <w:t xml:space="preserve">:</w:t>
      </w:r>
      <w:r>
        <w:rPr>
          <w:rFonts w:hint="eastAsia" w:ascii="宋体" w:hAnsi="宋体" w:eastAsia="宋体" w:cs="Times New Roman"/>
          <w:sz w:val="24"/>
          <w:szCs w:val="24"/>
        </w:rPr>
        <w:t xml:space="preserve">3</w:t>
      </w:r>
      <w:r>
        <w:rPr>
          <w:rFonts w:ascii="宋体" w:hAnsi="宋体" w:eastAsia="宋体" w:cs="Times New Roman"/>
          <w:sz w:val="24"/>
          <w:szCs w:val="24"/>
        </w:rPr>
        <w:t xml:space="preserve">0（北京时间）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地点：</w:t>
      </w:r>
      <w:r>
        <w:rPr>
          <w:rFonts w:hint="eastAsia" w:ascii="宋体" w:hAnsi="宋体" w:eastAsia="宋体" w:cs="Times New Roman"/>
          <w:sz w:val="24"/>
          <w:szCs w:val="24"/>
        </w:rPr>
        <w:t xml:space="preserve">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五、公告期限</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自本公告发布之日起5个工作日。</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六、其他补充事宜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（一）供应商注册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1.请有意参加本项目采购活动的供应商按以下流程进行操作：</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（1）访问“江苏省政府采购（苏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）平台”（以下简称“苏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”）进行账号注册，注册完成后需在系统中填写资质信息并提交审核。也可以直接通过http://jszfcg.jsczt.cn/进入注册界面。</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（2）办理“意源”CA数字证书和“方正”电子签章（办理地址：无锡市</w:t>
      </w:r>
      <w:r>
        <w:rPr>
          <w:rFonts w:hint="eastAsia" w:ascii="宋体" w:hAnsi="宋体" w:eastAsia="宋体" w:cs="Times New Roman"/>
          <w:sz w:val="24"/>
          <w:szCs w:val="24"/>
        </w:rPr>
        <w:t xml:space="preserve">滨湖区</w:t>
      </w:r>
      <w:r>
        <w:rPr>
          <w:rFonts w:hint="eastAsia" w:ascii="宋体" w:hAnsi="宋体" w:eastAsia="宋体" w:cs="Times New Roman"/>
          <w:sz w:val="24"/>
          <w:szCs w:val="24"/>
        </w:rPr>
        <w:t xml:space="preserve">观山路199号12号楼二楼9号、10号窗口 咨询电话：</w:t>
      </w:r>
      <w:r>
        <w:rPr>
          <w:rFonts w:ascii="宋体" w:hAnsi="宋体" w:eastAsia="宋体" w:cs="Times New Roman"/>
          <w:sz w:val="24"/>
          <w:szCs w:val="24"/>
        </w:rPr>
        <w:t xml:space="preserve">0510-81827781</w:t>
      </w:r>
      <w:r>
        <w:rPr>
          <w:rFonts w:hint="eastAsia" w:ascii="宋体" w:hAnsi="宋体" w:eastAsia="宋体" w:cs="Times New Roman"/>
          <w:sz w:val="24"/>
          <w:szCs w:val="24"/>
        </w:rPr>
        <w:t xml:space="preserve">），办理指南链接：http://jsxcmm.com/help/help.html。</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（3）CA驱动下载：在“江苏省政府采购（苏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）平台”账号登录页面，点击“驱动下载”链接中的“政务CA、方正签章控件驱动安装包及安装说明”可以直接下载驱动安装包，安装包中附有驱动安装手册。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2.完成苏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注册的</w:t>
      </w:r>
      <w:r>
        <w:rPr>
          <w:rFonts w:hint="eastAsia" w:ascii="宋体" w:hAnsi="宋体" w:eastAsia="宋体" w:cs="Times New Roman"/>
          <w:sz w:val="24"/>
          <w:szCs w:val="24"/>
        </w:rPr>
        <w:t xml:space="preserve">供应商方可</w:t>
      </w:r>
      <w:r>
        <w:rPr>
          <w:rFonts w:hint="eastAsia" w:ascii="宋体" w:hAnsi="宋体" w:eastAsia="宋体" w:cs="Times New Roman"/>
          <w:sz w:val="24"/>
          <w:szCs w:val="24"/>
        </w:rPr>
        <w:t xml:space="preserve">在苏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中进行CA绑定。登录“江苏省政府采购（苏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）平台”，插入CA后，点击【账号设置】——【绑定CA】。</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3.供应商应按上述要求提供相关材料及注册登记信息，所提供的材料应均是真实的、准确的，若有违背，供应商自行承担由此而产生的一切后果。</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4.如供应商未按上述要求操作，由此所产生的损失及风险由供应商自行承担。具体操作步骤详见《“苏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”系统供应商操作手册》（以下简称《操作手册》），下载地址：江阴市公共资源交易中心网站——资料下载（供应商）——“苏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”系统供应商操作手册。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技术服务电话：0510-88027623（服务时间：工作日 8:30-11:00,13:00-17:00）</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（二）获取采购文件，完成项目参与</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1.供应商可在项目采购公告附件中查看采购文件，如确定参加本次采购活动，必须在采购文件提供期限内从苏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平台中免费下载文件（“项目参与”找到需要获取采购文件的项目，点击“我要参与”——“参与投标”——“下载文件”），完成项目参与，将苏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平台中下载的采购文件（后缀名为“.kedt”）导入到“政府采购客户端”，离线按要</w:t>
      </w:r>
      <w:r>
        <w:rPr>
          <w:rFonts w:hint="eastAsia" w:ascii="宋体" w:hAnsi="宋体" w:eastAsia="宋体" w:cs="Times New Roman"/>
          <w:sz w:val="24"/>
          <w:szCs w:val="24"/>
        </w:rPr>
        <w:t xml:space="preserve">求编制并加密响应文件（使用“CA数字证书”），导出加密的响应文件（后缀名为zip，不得超过150M）并在苏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w:t>
      </w:r>
      <w:r>
        <w:rPr>
          <w:rFonts w:hint="eastAsia" w:ascii="宋体" w:hAnsi="宋体" w:eastAsia="宋体" w:cs="Times New Roman"/>
          <w:sz w:val="24"/>
          <w:szCs w:val="24"/>
        </w:rPr>
        <w:t xml:space="preserve">上传该加密</w:t>
      </w:r>
      <w:r>
        <w:rPr>
          <w:rFonts w:hint="eastAsia" w:ascii="宋体" w:hAnsi="宋体" w:eastAsia="宋体" w:cs="Times New Roman"/>
          <w:sz w:val="24"/>
          <w:szCs w:val="24"/>
        </w:rPr>
        <w:t xml:space="preserve">的响应文件，对采购文件各项内容做出实质性响应，否则其响应文件无效。</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2.供应商通过苏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平台提交数据电文形式的响应文件，通过苏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平台进入“开标大厅”开启（解密）响应文件。推荐</w:t>
      </w:r>
      <w:r>
        <w:rPr>
          <w:rFonts w:hint="eastAsia" w:ascii="宋体" w:hAnsi="宋体" w:eastAsia="宋体" w:cs="Times New Roman"/>
          <w:sz w:val="24"/>
          <w:szCs w:val="24"/>
        </w:rPr>
        <w:t xml:space="preserve">使用谷歌浏览器</w:t>
      </w:r>
      <w:r>
        <w:rPr>
          <w:rFonts w:hint="eastAsia" w:ascii="宋体" w:hAnsi="宋体" w:eastAsia="宋体" w:cs="Times New Roman"/>
          <w:sz w:val="24"/>
          <w:szCs w:val="24"/>
        </w:rPr>
        <w:t xml:space="preserve">，参与苏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平台不见面开标。</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七、对本次招标提出询问，请按以下方式联系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1.采购人信息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单位名称：</w:t>
      </w:r>
      <w:r>
        <w:rPr>
          <w:rFonts w:hint="eastAsia" w:ascii="宋体" w:hAnsi="宋体" w:eastAsia="宋体" w:cs="Times New Roman"/>
          <w:sz w:val="24"/>
          <w:szCs w:val="24"/>
        </w:rPr>
        <w:t xml:space="preserve">江阴市第三人民医院</w:t>
      </w:r>
      <w:r/>
    </w:p>
    <w:p>
      <w:pPr>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单位</w:t>
      </w:r>
      <w:r>
        <w:rPr>
          <w:rFonts w:hint="eastAsia" w:ascii="宋体" w:hAnsi="宋体" w:eastAsia="宋体" w:cs="Times New Roman"/>
          <w:sz w:val="24"/>
          <w:szCs w:val="24"/>
        </w:rPr>
        <w:t xml:space="preserve">地址：江阴市五星路999号</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项目联系人：陆先生</w:t>
      </w:r>
      <w:r/>
    </w:p>
    <w:p>
      <w:pPr>
        <w:ind w:firstLine="480"/>
        <w:spacing w:line="400" w:lineRule="exact"/>
        <w:rPr>
          <w:rFonts w:ascii="宋体" w:hAnsi="宋体" w:cs="Times New Roman"/>
          <w:sz w:val="24"/>
          <w:szCs w:val="24"/>
        </w:rPr>
      </w:pPr>
      <w:r>
        <w:rPr>
          <w:rFonts w:hint="eastAsia" w:ascii="宋体" w:hAnsi="宋体" w:eastAsia="宋体" w:cs="Times New Roman"/>
          <w:sz w:val="24"/>
          <w:szCs w:val="24"/>
        </w:rPr>
        <w:t xml:space="preserve">联系电话：0510-81663006转8650</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2.采购代理机构信息</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单位名称：</w:t>
      </w:r>
      <w:r>
        <w:rPr>
          <w:rFonts w:hint="eastAsia" w:ascii="宋体" w:hAnsi="宋体" w:eastAsia="宋体" w:cs="Times New Roman"/>
          <w:sz w:val="24"/>
          <w:szCs w:val="24"/>
        </w:rPr>
        <w:t xml:space="preserve">江阴市政府采购中心</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单位地址：</w:t>
      </w:r>
      <w:r>
        <w:rPr>
          <w:rFonts w:hint="eastAsia" w:ascii="宋体" w:hAnsi="宋体" w:eastAsia="宋体" w:cs="Times New Roman"/>
          <w:sz w:val="24"/>
          <w:szCs w:val="24"/>
        </w:rPr>
        <w:t xml:space="preserve">江阴市长江路188号6楼</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联系人：</w:t>
      </w:r>
      <w:r>
        <w:rPr>
          <w:rFonts w:hint="eastAsia" w:ascii="宋体" w:hAnsi="宋体" w:eastAsia="宋体" w:cs="Times New Roman"/>
          <w:sz w:val="24"/>
          <w:szCs w:val="24"/>
        </w:rPr>
        <w:t xml:space="preserve">周先生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联系电话：0510-880276</w:t>
      </w:r>
      <w:r>
        <w:rPr>
          <w:rFonts w:hint="eastAsia" w:ascii="宋体" w:hAnsi="宋体" w:eastAsia="宋体" w:cs="Times New Roman"/>
          <w:sz w:val="24"/>
          <w:szCs w:val="24"/>
        </w:rPr>
        <w:t xml:space="preserve">20</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3.项目联系方式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项目联系人：</w:t>
      </w:r>
      <w:r>
        <w:rPr>
          <w:rFonts w:hint="eastAsia" w:ascii="宋体" w:hAnsi="宋体" w:eastAsia="宋体" w:cs="Times New Roman"/>
          <w:sz w:val="24"/>
          <w:szCs w:val="24"/>
        </w:rPr>
        <w:t xml:space="preserve">周先生</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电话：0510-880276</w:t>
      </w:r>
      <w:r>
        <w:rPr>
          <w:rFonts w:hint="eastAsia" w:ascii="宋体" w:hAnsi="宋体" w:eastAsia="宋体" w:cs="Times New Roman"/>
          <w:sz w:val="24"/>
          <w:szCs w:val="24"/>
        </w:rPr>
        <w:t xml:space="preserve">20</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r>
      <w:r/>
    </w:p>
    <w:p>
      <w:pPr>
        <w:ind w:firstLine="480"/>
        <w:spacing w:line="400" w:lineRule="exact"/>
        <w:rPr>
          <w:rFonts w:ascii="宋体" w:hAnsi="宋体" w:eastAsia="宋体" w:cs="Times New Roman"/>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z w:val="24"/>
          <w:szCs w:val="24"/>
        </w:rPr>
      </w:r>
      <w:r/>
    </w:p>
    <w:p>
      <w:pPr>
        <w:pStyle w:val="873"/>
        <w:outlineLvl w:val="9"/>
      </w:pPr>
      <w:r/>
      <w:r/>
    </w:p>
    <w:p>
      <w:pPr>
        <w:pStyle w:val="873"/>
      </w:pPr>
      <w:r/>
      <w:bookmarkStart w:id="9" w:name="_Toc13482"/>
      <w:r>
        <w:rPr>
          <w:rFonts w:hint="eastAsia"/>
        </w:rPr>
        <w:t xml:space="preserve">第二章　</w:t>
      </w:r>
      <w:r>
        <w:rPr>
          <w:rFonts w:hint="eastAsia" w:hAnsi="宋体"/>
        </w:rPr>
        <w:t xml:space="preserve">投标人</w:t>
      </w:r>
      <w:r>
        <w:rPr>
          <w:rFonts w:hint="eastAsia"/>
        </w:rPr>
        <w:t xml:space="preserve">须知</w:t>
      </w:r>
      <w:bookmarkEnd w:id="7"/>
      <w:r/>
      <w:bookmarkEnd w:id="8"/>
      <w:r/>
      <w:bookmarkEnd w:id="9"/>
      <w:r/>
      <w:r/>
    </w:p>
    <w:p>
      <w:pPr>
        <w:spacing w:line="400" w:lineRule="exact"/>
        <w:rPr>
          <w:rFonts w:ascii="黑体" w:hAnsi="Times New Roman" w:eastAsia="黑体" w:cs="Times New Roman"/>
          <w:b/>
          <w:sz w:val="28"/>
          <w:szCs w:val="24"/>
        </w:rPr>
      </w:pPr>
      <w:r>
        <w:rPr>
          <w:rFonts w:ascii="黑体" w:hAnsi="Times New Roman" w:eastAsia="黑体" w:cs="Times New Roman"/>
          <w:b/>
          <w:sz w:val="28"/>
          <w:szCs w:val="24"/>
        </w:rPr>
      </w:r>
      <w:r/>
    </w:p>
    <w:p>
      <w:pPr>
        <w:spacing w:line="400" w:lineRule="exact"/>
        <w:rPr>
          <w:rFonts w:ascii="黑体" w:hAnsi="Times New Roman" w:eastAsia="黑体" w:cs="Times New Roman"/>
          <w:sz w:val="28"/>
          <w:szCs w:val="24"/>
        </w:rPr>
      </w:pPr>
      <w:r>
        <w:rPr>
          <w:rFonts w:hint="eastAsia" w:ascii="黑体" w:hAnsi="Times New Roman" w:eastAsia="黑体" w:cs="Times New Roman"/>
          <w:b/>
          <w:sz w:val="28"/>
          <w:szCs w:val="24"/>
        </w:rPr>
        <w:t xml:space="preserve">一、</w:t>
      </w:r>
      <w:r>
        <w:rPr>
          <w:rFonts w:hint="eastAsia" w:ascii="黑体" w:hAnsi="Times New Roman" w:eastAsia="黑体" w:cs="Times New Roman"/>
          <w:sz w:val="28"/>
          <w:szCs w:val="24"/>
        </w:rPr>
        <w:t xml:space="preserve">遵循原则：</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公开透明原则、公平竞争原则、公正原则和诚实信用原则。</w:t>
      </w:r>
      <w:r/>
    </w:p>
    <w:p>
      <w:pPr>
        <w:spacing w:line="400" w:lineRule="exact"/>
        <w:rPr>
          <w:rFonts w:ascii="黑体" w:hAnsi="Times New Roman" w:eastAsia="黑体" w:cs="Times New Roman"/>
          <w:sz w:val="24"/>
          <w:szCs w:val="24"/>
        </w:rPr>
      </w:pPr>
      <w:r>
        <w:rPr>
          <w:rFonts w:hint="eastAsia" w:ascii="黑体" w:hAnsi="Times New Roman" w:eastAsia="黑体" w:cs="Times New Roman"/>
          <w:sz w:val="28"/>
          <w:szCs w:val="24"/>
        </w:rPr>
        <w:t xml:space="preserve">二、招标文件：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1、招标文件包括本文件目录所列全部内容，投标人应仔细阅读，并在投标文件中充分反映招标文件的所有要求。</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2、招标文件中的“法定代表人”是指投标人的营业执照或相关部门的有效登记证明文件中的“法定代表人”或“负责人”。</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3、投标人应在</w:t>
      </w:r>
      <w:r>
        <w:rPr>
          <w:rFonts w:ascii="宋体" w:hAnsi="宋体" w:eastAsia="宋体" w:cs="Times New Roman"/>
          <w:sz w:val="24"/>
          <w:szCs w:val="24"/>
        </w:rPr>
        <w:t xml:space="preserve">江苏省政府采购（苏</w:t>
      </w:r>
      <w:r>
        <w:rPr>
          <w:rFonts w:ascii="宋体" w:hAnsi="宋体" w:eastAsia="宋体" w:cs="Times New Roman"/>
          <w:sz w:val="24"/>
          <w:szCs w:val="24"/>
        </w:rPr>
        <w:t xml:space="preserve">采云</w:t>
      </w:r>
      <w:r>
        <w:rPr>
          <w:rFonts w:ascii="宋体" w:hAnsi="宋体" w:eastAsia="宋体" w:cs="Times New Roman"/>
          <w:sz w:val="24"/>
          <w:szCs w:val="24"/>
        </w:rPr>
        <w:t xml:space="preserve">）平台</w:t>
      </w:r>
      <w:r>
        <w:rPr>
          <w:rFonts w:hint="eastAsia" w:ascii="宋体" w:hAnsi="宋体" w:eastAsia="宋体" w:cs="Times New Roman"/>
          <w:sz w:val="24"/>
          <w:szCs w:val="24"/>
        </w:rPr>
        <w:t xml:space="preserve">下载招标文件及有关资料，按招标文件要求提交全部资料并对招标文件各项内容做出实质性响应，否则投标无效。</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4、投标人一旦参加本项目，即被认为接受了本招标文件中的所有条件和规定。</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5、招标文件仅作为本次采购投标使用。</w:t>
      </w:r>
      <w:r/>
    </w:p>
    <w:p>
      <w:pPr>
        <w:spacing w:line="400" w:lineRule="exact"/>
        <w:rPr>
          <w:rFonts w:ascii="黑体" w:hAnsi="Times New Roman" w:eastAsia="黑体" w:cs="Times New Roman"/>
          <w:sz w:val="24"/>
          <w:szCs w:val="24"/>
        </w:rPr>
      </w:pPr>
      <w:r>
        <w:rPr>
          <w:rFonts w:hint="eastAsia" w:ascii="黑体" w:hAnsi="Times New Roman" w:eastAsia="黑体" w:cs="Times New Roman"/>
          <w:sz w:val="28"/>
          <w:szCs w:val="24"/>
        </w:rPr>
        <w:t xml:space="preserve">三、招标文件的解释：</w:t>
      </w:r>
      <w:r>
        <w:rPr>
          <w:rFonts w:hint="eastAsia" w:ascii="黑体" w:hAnsi="Times New Roman" w:eastAsia="黑体" w:cs="Times New Roman"/>
          <w:sz w:val="24"/>
          <w:szCs w:val="24"/>
        </w:rPr>
        <w:tab/>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1、投标单位如有需要对招标文件要求澄清的问题，均应在开标前十五日以书面形式提出（加盖公章），并送至江阴市政府采购中心。</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2、本文件的最终解释权归江阴市政府采购中心。</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四、招标文件的补充或修正：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1、江阴市政府采购中心可以对已发出的招标文件进行必要的澄清或者修改。</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澄清或者修改在财政部门指定的政府采购信息发布媒体上发布澄清公告。澄清或者修改的内容为招标文件的组成部分，投标人应在投标截止时间前关注、下载澄清公告内容。因投标人未尽注意义务，未及时全面地关注澄清公告导致其提交的投标材料不符合招标文件及澄清与修改的内容要求，而造成的损失及风险（包括但不限于未中标）由投标人自行承担。</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3、澄清或者修改的内容可能影响投标文件编制的</w:t>
      </w:r>
      <w:bookmarkStart w:id="10" w:name="_GoBack"/>
      <w:r/>
      <w:bookmarkEnd w:id="10"/>
      <w:r>
        <w:rPr>
          <w:rFonts w:hint="eastAsia" w:ascii="宋体" w:hAnsi="宋体" w:eastAsia="宋体" w:cs="Times New Roman"/>
          <w:sz w:val="24"/>
          <w:szCs w:val="24"/>
        </w:rPr>
        <w:t xml:space="preserve">，江阴市政府采购中心将在投标截止时间至少15日前发布澄清公告；不足15日的顺延提交投标文件的截止时间和开标时间。</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五、投标文件的要求：</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投标文件由下列部分组成：</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（1）</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投标函；</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（2）</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开标一览表；</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（3）</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报价明细表；</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详细配置一览表；</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商务、技术要求响应及偏离表；</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w:t>
      </w:r>
      <w:r>
        <w:rPr>
          <w:rFonts w:hint="eastAsia" w:ascii="宋体" w:hAnsi="宋体" w:eastAsia="宋体" w:cs="Times New Roman"/>
          <w:b/>
          <w:sz w:val="24"/>
          <w:szCs w:val="24"/>
        </w:rPr>
        <w:t xml:space="preserve">*</w:t>
      </w:r>
      <w:r>
        <w:rPr>
          <w:rFonts w:hint="eastAsia" w:ascii="宋体" w:hAnsi="宋体" w:eastAsia="宋体" w:cs="Times New Roman"/>
          <w:bCs/>
          <w:sz w:val="24"/>
          <w:szCs w:val="24"/>
        </w:rPr>
        <w:t xml:space="preserve">第三章实质性要求中须提供的系统升级平稳过渡承诺函、</w:t>
      </w:r>
      <w:r>
        <w:rPr>
          <w:rFonts w:hint="eastAsia" w:ascii="宋体" w:hAnsi="宋体"/>
          <w:sz w:val="24"/>
        </w:rPr>
        <w:t xml:space="preserve">售后服务承诺函</w:t>
      </w:r>
      <w:r>
        <w:rPr>
          <w:rFonts w:hint="eastAsia" w:ascii="宋体" w:hAnsi="宋体" w:eastAsia="宋体" w:cs="Times New Roman"/>
          <w:b/>
          <w:sz w:val="24"/>
          <w:szCs w:val="24"/>
        </w:rPr>
        <w:t xml:space="preserve">；</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（7）</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资格证明文件：</w:t>
      </w:r>
      <w:r/>
    </w:p>
    <w:p>
      <w:pPr>
        <w:ind w:firstLine="964"/>
        <w:spacing w:line="400" w:lineRule="exact"/>
        <w:rPr>
          <w:rFonts w:ascii="宋体" w:hAnsi="宋体" w:eastAsia="宋体" w:cs="Times New Roman"/>
          <w:bCs/>
          <w:sz w:val="24"/>
          <w:szCs w:val="24"/>
        </w:rPr>
      </w:pPr>
      <w:r>
        <w:rPr>
          <w:rFonts w:hint="eastAsia" w:ascii="宋体" w:hAnsi="宋体" w:eastAsia="宋体" w:cs="Times New Roman"/>
          <w:b/>
          <w:bCs/>
          <w:sz w:val="24"/>
          <w:szCs w:val="28"/>
        </w:rPr>
        <w:t xml:space="preserve">文件1：提供格式条款《关于资格的声明函》</w:t>
      </w:r>
      <w:r/>
    </w:p>
    <w:p>
      <w:pPr>
        <w:ind w:firstLine="964"/>
        <w:spacing w:line="400" w:lineRule="exact"/>
        <w:rPr>
          <w:rFonts w:ascii="宋体" w:hAnsi="宋体" w:eastAsia="宋体" w:cs="Times New Roman"/>
          <w:b/>
          <w:bCs/>
          <w:sz w:val="24"/>
          <w:szCs w:val="24"/>
        </w:rPr>
      </w:pPr>
      <w:r>
        <w:rPr>
          <w:rFonts w:hint="eastAsia" w:ascii="宋体" w:hAnsi="宋体" w:eastAsia="宋体" w:cs="Times New Roman"/>
          <w:b/>
          <w:bCs/>
          <w:sz w:val="24"/>
          <w:szCs w:val="28"/>
        </w:rPr>
        <w:t xml:space="preserve">文件2：</w:t>
      </w:r>
      <w:r>
        <w:rPr>
          <w:rFonts w:hint="eastAsia" w:ascii="宋体" w:hAnsi="宋体" w:eastAsia="宋体" w:cs="Times New Roman"/>
          <w:bCs/>
          <w:sz w:val="24"/>
          <w:szCs w:val="24"/>
        </w:rPr>
        <w:t xml:space="preserve">法定代表人授权委托书</w:t>
      </w:r>
      <w:r>
        <w:rPr>
          <w:rFonts w:hint="eastAsia" w:ascii="宋体" w:hAnsi="宋体" w:eastAsia="宋体" w:cs="Times New Roman"/>
          <w:b/>
          <w:bCs/>
          <w:sz w:val="24"/>
          <w:szCs w:val="24"/>
        </w:rPr>
        <w:t xml:space="preserve">（法定代表人签署投标文件</w:t>
      </w:r>
      <w:r>
        <w:rPr>
          <w:rFonts w:hint="eastAsia" w:ascii="宋体" w:hAnsi="宋体" w:eastAsia="宋体" w:cs="Times New Roman"/>
          <w:b/>
          <w:bCs/>
          <w:sz w:val="24"/>
          <w:szCs w:val="24"/>
        </w:rPr>
        <w:t xml:space="preserve">且亲自</w:t>
      </w:r>
      <w:r>
        <w:rPr>
          <w:rFonts w:hint="eastAsia" w:ascii="宋体" w:hAnsi="宋体" w:eastAsia="宋体" w:cs="Times New Roman"/>
          <w:b/>
          <w:bCs/>
          <w:sz w:val="24"/>
          <w:szCs w:val="24"/>
        </w:rPr>
        <w:t xml:space="preserve">参与的必须提供《法定代表人亲自投标声明》）</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8"/>
        </w:rPr>
        <w:t xml:space="preserve">（8）投标人</w:t>
      </w:r>
      <w:r>
        <w:rPr>
          <w:rFonts w:ascii="宋体" w:hAnsi="宋体" w:eastAsia="宋体" w:cs="Times New Roman"/>
          <w:sz w:val="24"/>
          <w:szCs w:val="28"/>
        </w:rPr>
        <w:t xml:space="preserve">认为需要提供的其他证明文件</w:t>
      </w:r>
      <w:r/>
    </w:p>
    <w:p>
      <w:pP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注：</w:t>
      </w:r>
      <w:r/>
    </w:p>
    <w:p>
      <w:pPr>
        <w:ind w:firstLine="480"/>
        <w:spacing w:line="400" w:lineRule="exact"/>
        <w:rPr>
          <w:rFonts w:ascii="宋体" w:hAnsi="宋体" w:eastAsia="宋体" w:cs="Times New Roman"/>
          <w:b/>
          <w:sz w:val="24"/>
          <w:szCs w:val="24"/>
        </w:rPr>
      </w:pPr>
      <w:r>
        <w:rPr>
          <w:rFonts w:hint="eastAsia" w:ascii="宋体" w:hAnsi="宋体" w:eastAsia="宋体" w:cs="Times New Roman"/>
          <w:sz w:val="24"/>
          <w:szCs w:val="24"/>
        </w:rPr>
        <w:t xml:space="preserve">①其中加“*”项目若有缺失或无效，将作为无效投标文件。</w:t>
      </w:r>
      <w:r/>
    </w:p>
    <w:p>
      <w:pPr>
        <w:ind w:firstLine="480"/>
        <w:spacing w:line="400" w:lineRule="exact"/>
        <w:rPr>
          <w:rFonts w:ascii="Tahoma" w:hAnsi="Tahoma" w:eastAsia="宋体" w:cs="Tahoma"/>
          <w:sz w:val="24"/>
          <w:szCs w:val="24"/>
        </w:rPr>
      </w:pPr>
      <w:r>
        <w:rPr>
          <w:rFonts w:hint="eastAsia" w:ascii="宋体" w:hAnsi="宋体" w:eastAsia="宋体" w:cs="Times New Roman"/>
          <w:sz w:val="24"/>
          <w:szCs w:val="24"/>
        </w:rPr>
        <w:t xml:space="preserve">②</w:t>
      </w:r>
      <w:r>
        <w:rPr>
          <w:rFonts w:hint="eastAsia" w:ascii="Tahoma" w:hAnsi="Tahoma" w:eastAsia="宋体" w:cs="Tahoma"/>
          <w:sz w:val="24"/>
          <w:szCs w:val="24"/>
        </w:rPr>
        <w:t xml:space="preserve">如上述资格证明文件若遇年检、换证等未能提供的情况，则必须提供法定年检、换证单位出具的有效证明。如上述资格证明文件遇有国家相关政策规定可不具备的，必须提供相关政策规定或相关单位出具的有效证明。</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③投标文件构成资料为非中文时应提供中文译版。</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④招标文件要求提供证书证件等原件电子件的，投标人提供的电子件应是对证书证件等原件通过扫描、拍照等方式进行数字化的可被电子交易平台识别的数字文件，否则评标委员会可以视其未提供。</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⑤联合体投标的，由联合体牵头单位编制、提交投标文件。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⑥本项目不接受纸质投标文件。</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六、投标文件</w:t>
      </w:r>
      <w:r>
        <w:rPr>
          <w:rFonts w:hint="eastAsia" w:ascii="黑体" w:hAnsi="Times New Roman" w:eastAsia="黑体" w:cs="Times New Roman"/>
          <w:sz w:val="28"/>
          <w:szCs w:val="28"/>
        </w:rPr>
        <w:t xml:space="preserve">的制作、提交与远程交互</w:t>
      </w:r>
      <w:r>
        <w:rPr>
          <w:rFonts w:hint="eastAsia" w:ascii="黑体" w:hAnsi="Times New Roman" w:eastAsia="黑体" w:cs="Times New Roman"/>
          <w:sz w:val="28"/>
          <w:szCs w:val="24"/>
        </w:rPr>
        <w:t xml:space="preserve">：</w:t>
      </w:r>
      <w:r/>
    </w:p>
    <w:p>
      <w:pPr>
        <w:ind w:firstLine="480"/>
        <w:jc w:val="left"/>
        <w:spacing w:line="400" w:lineRule="exact"/>
        <w:widowControl/>
        <w:rPr>
          <w:rFonts w:ascii="宋体" w:hAnsi="宋体" w:eastAsia="宋体" w:cs="宋体"/>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供应商</w:t>
      </w:r>
      <w:r>
        <w:rPr>
          <w:rFonts w:hint="eastAsia" w:ascii="宋体" w:hAnsi="宋体" w:eastAsia="宋体" w:cs="Times New Roman"/>
          <w:sz w:val="24"/>
          <w:szCs w:val="24"/>
        </w:rPr>
        <w:t xml:space="preserve">从</w:t>
      </w:r>
      <w:r>
        <w:rPr>
          <w:rFonts w:ascii="宋体" w:hAnsi="宋体" w:eastAsia="宋体" w:cs="Times New Roman"/>
          <w:sz w:val="24"/>
          <w:szCs w:val="24"/>
        </w:rPr>
        <w:t xml:space="preserve">苏</w:t>
      </w:r>
      <w:r>
        <w:rPr>
          <w:rFonts w:ascii="宋体" w:hAnsi="宋体" w:eastAsia="宋体" w:cs="Times New Roman"/>
          <w:sz w:val="24"/>
          <w:szCs w:val="24"/>
        </w:rPr>
        <w:t xml:space="preserve">采云</w:t>
      </w:r>
      <w:r>
        <w:rPr>
          <w:rFonts w:ascii="宋体" w:hAnsi="宋体" w:eastAsia="宋体" w:cs="Times New Roman"/>
          <w:sz w:val="24"/>
          <w:szCs w:val="24"/>
        </w:rPr>
        <w:t xml:space="preserve">平台中免费下载文件（“项目参与</w:t>
      </w:r>
      <w:r>
        <w:rPr>
          <w:rFonts w:hint="eastAsia" w:ascii="宋体" w:hAnsi="宋体" w:eastAsia="宋体" w:cs="Times New Roman"/>
          <w:sz w:val="24"/>
          <w:szCs w:val="24"/>
        </w:rPr>
        <w:t xml:space="preserve">”</w:t>
      </w:r>
      <w:r>
        <w:rPr>
          <w:rFonts w:ascii="宋体" w:hAnsi="宋体" w:eastAsia="宋体" w:cs="Times New Roman"/>
          <w:sz w:val="24"/>
          <w:szCs w:val="24"/>
        </w:rPr>
        <w:t xml:space="preserve">找到需要获取</w:t>
      </w:r>
      <w:r>
        <w:rPr>
          <w:rFonts w:hint="eastAsia" w:ascii="宋体" w:hAnsi="宋体" w:eastAsia="宋体" w:cs="Times New Roman"/>
          <w:sz w:val="24"/>
          <w:szCs w:val="24"/>
        </w:rPr>
        <w:t xml:space="preserve">招标文件</w:t>
      </w:r>
      <w:r>
        <w:rPr>
          <w:rFonts w:ascii="宋体" w:hAnsi="宋体" w:eastAsia="宋体" w:cs="Times New Roman"/>
          <w:sz w:val="24"/>
          <w:szCs w:val="24"/>
        </w:rPr>
        <w:t xml:space="preserve">的项目，点击“我要参与”——“参与投标”</w:t>
      </w:r>
      <w:r>
        <w:rPr>
          <w:rFonts w:hint="eastAsia" w:ascii="宋体" w:hAnsi="宋体" w:eastAsia="宋体" w:cs="Times New Roman"/>
          <w:sz w:val="24"/>
          <w:szCs w:val="24"/>
        </w:rPr>
        <w:t xml:space="preserve">——“</w:t>
      </w:r>
      <w:r>
        <w:rPr>
          <w:rFonts w:ascii="宋体" w:hAnsi="宋体" w:eastAsia="宋体" w:cs="Times New Roman"/>
          <w:sz w:val="24"/>
          <w:szCs w:val="24"/>
        </w:rPr>
        <w:t xml:space="preserve">下载文件</w:t>
      </w:r>
      <w:r>
        <w:rPr>
          <w:rFonts w:hint="eastAsia" w:ascii="宋体" w:hAnsi="宋体" w:eastAsia="宋体" w:cs="Times New Roman"/>
          <w:sz w:val="24"/>
          <w:szCs w:val="24"/>
        </w:rPr>
        <w:t xml:space="preserve">”</w:t>
      </w:r>
      <w:r>
        <w:rPr>
          <w:rFonts w:ascii="宋体" w:hAnsi="宋体" w:eastAsia="宋体" w:cs="Times New Roman"/>
          <w:sz w:val="24"/>
          <w:szCs w:val="24"/>
        </w:rPr>
        <w:t xml:space="preserve">），完成项目</w:t>
      </w:r>
      <w:r>
        <w:rPr>
          <w:rFonts w:hint="eastAsia" w:ascii="宋体" w:hAnsi="宋体" w:eastAsia="宋体" w:cs="Times New Roman"/>
          <w:sz w:val="24"/>
          <w:szCs w:val="24"/>
        </w:rPr>
        <w:t xml:space="preserve">参与</w:t>
      </w:r>
      <w:r>
        <w:rPr>
          <w:rFonts w:ascii="宋体" w:hAnsi="宋体" w:eastAsia="宋体" w:cs="Times New Roman"/>
          <w:sz w:val="24"/>
          <w:szCs w:val="24"/>
        </w:rPr>
        <w:t xml:space="preserve">，</w:t>
      </w:r>
      <w:r>
        <w:rPr>
          <w:rFonts w:hint="eastAsia" w:ascii="宋体" w:hAnsi="宋体" w:eastAsia="宋体" w:cs="Times New Roman"/>
          <w:sz w:val="24"/>
          <w:szCs w:val="24"/>
        </w:rPr>
        <w:t xml:space="preserve">将苏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平台中</w:t>
      </w:r>
      <w:r>
        <w:rPr>
          <w:rFonts w:ascii="宋体" w:hAnsi="宋体" w:eastAsia="宋体" w:cs="Times New Roman"/>
          <w:sz w:val="24"/>
          <w:szCs w:val="24"/>
        </w:rPr>
        <w:t xml:space="preserve">下载的</w:t>
      </w:r>
      <w:r>
        <w:rPr>
          <w:rFonts w:hint="eastAsia" w:ascii="宋体" w:hAnsi="宋体" w:eastAsia="宋体" w:cs="Times New Roman"/>
          <w:sz w:val="24"/>
          <w:szCs w:val="24"/>
        </w:rPr>
        <w:t xml:space="preserve">招标</w:t>
      </w:r>
      <w:r>
        <w:rPr>
          <w:rFonts w:ascii="宋体" w:hAnsi="宋体" w:eastAsia="宋体" w:cs="Times New Roman"/>
          <w:sz w:val="24"/>
          <w:szCs w:val="24"/>
        </w:rPr>
        <w:t xml:space="preserve">文件</w:t>
      </w:r>
      <w:r>
        <w:rPr>
          <w:rFonts w:hint="eastAsia" w:ascii="宋体" w:hAnsi="宋体" w:eastAsia="宋体" w:cs="Times New Roman"/>
          <w:sz w:val="24"/>
          <w:szCs w:val="24"/>
        </w:rPr>
        <w:t xml:space="preserve">（后缀名为“.kedt”）</w:t>
      </w:r>
      <w:r>
        <w:rPr>
          <w:rFonts w:ascii="宋体" w:hAnsi="宋体" w:eastAsia="宋体" w:cs="Times New Roman"/>
          <w:sz w:val="24"/>
          <w:szCs w:val="24"/>
        </w:rPr>
        <w:t xml:space="preserve">导入到“政府采购客户端”，离线按要求</w:t>
      </w:r>
      <w:r>
        <w:rPr>
          <w:rFonts w:hint="eastAsia" w:ascii="宋体" w:hAnsi="宋体" w:eastAsia="宋体" w:cs="Times New Roman"/>
          <w:sz w:val="24"/>
          <w:szCs w:val="24"/>
        </w:rPr>
        <w:t xml:space="preserve">编制</w:t>
      </w:r>
      <w:r>
        <w:rPr>
          <w:rFonts w:ascii="宋体" w:hAnsi="宋体" w:eastAsia="宋体" w:cs="Times New Roman"/>
          <w:sz w:val="24"/>
          <w:szCs w:val="24"/>
        </w:rPr>
        <w:t xml:space="preserve">并加密响应文件</w:t>
      </w:r>
      <w:r>
        <w:rPr>
          <w:rFonts w:hint="eastAsia" w:ascii="宋体" w:hAnsi="宋体" w:eastAsia="宋体" w:cs="Times New Roman"/>
          <w:sz w:val="24"/>
          <w:szCs w:val="24"/>
        </w:rPr>
        <w:t xml:space="preserve">（使用“CA数字证书”），</w:t>
      </w:r>
      <w:r>
        <w:rPr>
          <w:rFonts w:ascii="宋体" w:hAnsi="宋体" w:eastAsia="宋体" w:cs="Times New Roman"/>
          <w:sz w:val="24"/>
          <w:szCs w:val="24"/>
        </w:rPr>
        <w:t xml:space="preserve">导出加密的响应文件</w:t>
      </w:r>
      <w:r>
        <w:rPr>
          <w:rFonts w:hint="eastAsia" w:ascii="宋体" w:hAnsi="宋体" w:eastAsia="宋体" w:cs="Times New Roman"/>
          <w:sz w:val="24"/>
          <w:szCs w:val="24"/>
        </w:rPr>
        <w:t xml:space="preserve">（后缀名为zip，不得超过150M）并在</w:t>
      </w:r>
      <w:r>
        <w:rPr>
          <w:rFonts w:ascii="宋体" w:hAnsi="宋体" w:eastAsia="宋体" w:cs="Times New Roman"/>
          <w:sz w:val="24"/>
          <w:szCs w:val="24"/>
        </w:rPr>
        <w:t xml:space="preserve">苏</w:t>
      </w:r>
      <w:r>
        <w:rPr>
          <w:rFonts w:ascii="宋体" w:hAnsi="宋体" w:eastAsia="宋体" w:cs="Times New Roman"/>
          <w:sz w:val="24"/>
          <w:szCs w:val="24"/>
        </w:rPr>
        <w:t xml:space="preserve">采云</w:t>
      </w:r>
      <w:r>
        <w:rPr>
          <w:rFonts w:hint="eastAsia" w:ascii="宋体" w:hAnsi="宋体" w:eastAsia="宋体" w:cs="Times New Roman"/>
          <w:sz w:val="24"/>
          <w:szCs w:val="24"/>
        </w:rPr>
        <w:t xml:space="preserve">平台</w:t>
      </w:r>
      <w:r>
        <w:rPr>
          <w:rFonts w:ascii="宋体" w:hAnsi="宋体" w:eastAsia="宋体" w:cs="Times New Roman"/>
          <w:sz w:val="24"/>
          <w:szCs w:val="24"/>
        </w:rPr>
        <w:t xml:space="preserve">上传该加密</w:t>
      </w:r>
      <w:r>
        <w:rPr>
          <w:rFonts w:ascii="宋体" w:hAnsi="宋体" w:eastAsia="宋体" w:cs="Times New Roman"/>
          <w:sz w:val="24"/>
          <w:szCs w:val="24"/>
        </w:rPr>
        <w:t xml:space="preserve">的响应文件，对</w:t>
      </w:r>
      <w:r>
        <w:rPr>
          <w:rFonts w:hint="eastAsia" w:ascii="宋体" w:hAnsi="宋体" w:eastAsia="宋体" w:cs="Times New Roman"/>
          <w:sz w:val="24"/>
          <w:szCs w:val="24"/>
        </w:rPr>
        <w:t xml:space="preserve">招标</w:t>
      </w:r>
      <w:r>
        <w:rPr>
          <w:rFonts w:ascii="宋体" w:hAnsi="宋体" w:eastAsia="宋体" w:cs="Times New Roman"/>
          <w:sz w:val="24"/>
          <w:szCs w:val="24"/>
        </w:rPr>
        <w:t xml:space="preserve">文件各项内容做出实质性响应，否则其响应文件无效。</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2、</w:t>
      </w:r>
      <w:r>
        <w:rPr>
          <w:rFonts w:ascii="宋体" w:hAnsi="宋体" w:eastAsia="宋体" w:cs="宋体"/>
          <w:sz w:val="24"/>
          <w:szCs w:val="24"/>
        </w:rPr>
        <w:t xml:space="preserve">本</w:t>
      </w:r>
      <w:r>
        <w:rPr>
          <w:rFonts w:hint="eastAsia" w:ascii="宋体" w:hAnsi="宋体" w:eastAsia="宋体" w:cs="宋体"/>
          <w:sz w:val="24"/>
          <w:szCs w:val="24"/>
        </w:rPr>
        <w:t xml:space="preserve">项目</w:t>
      </w:r>
      <w:r>
        <w:rPr>
          <w:rFonts w:ascii="宋体" w:hAnsi="宋体" w:eastAsia="宋体" w:cs="宋体"/>
          <w:sz w:val="24"/>
          <w:szCs w:val="24"/>
        </w:rPr>
        <w:t xml:space="preserve">采用</w:t>
      </w:r>
      <w:r>
        <w:rPr>
          <w:rFonts w:ascii="宋体" w:hAnsi="宋体" w:eastAsia="宋体" w:cs="宋体"/>
          <w:sz w:val="24"/>
          <w:szCs w:val="24"/>
        </w:rPr>
        <w:t xml:space="preserve">远程不</w:t>
      </w:r>
      <w:r>
        <w:rPr>
          <w:rFonts w:ascii="宋体" w:hAnsi="宋体" w:eastAsia="宋体" w:cs="宋体"/>
          <w:sz w:val="24"/>
          <w:szCs w:val="24"/>
        </w:rPr>
        <w:t xml:space="preserve">见面交易模式。通过不见面交易系统及相应的配套硬件设备（摄像头、话筒、麦克风等）完成远程解密、开标现场异议及回复、开标唱标、等交互环节。相关要求和说明如下：</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①</w:t>
      </w:r>
      <w:r>
        <w:rPr>
          <w:rFonts w:ascii="宋体" w:hAnsi="宋体" w:eastAsia="宋体" w:cs="宋体"/>
          <w:sz w:val="24"/>
          <w:szCs w:val="24"/>
        </w:rPr>
        <w:t xml:space="preserve">远程开标项目的时间均以国家授时中心发布的时间为准；</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②</w:t>
      </w:r>
      <w:r>
        <w:rPr>
          <w:rFonts w:ascii="宋体" w:hAnsi="宋体" w:eastAsia="宋体" w:cs="宋体"/>
          <w:sz w:val="24"/>
          <w:szCs w:val="24"/>
        </w:rPr>
        <w:t xml:space="preserve">开标当日，投标人不必抵达开标现场</w:t>
      </w:r>
      <w:r>
        <w:rPr>
          <w:rFonts w:hint="eastAsia" w:ascii="宋体" w:hAnsi="宋体" w:eastAsia="宋体" w:cs="宋体"/>
          <w:sz w:val="24"/>
          <w:szCs w:val="24"/>
        </w:rPr>
        <w:t xml:space="preserve">；</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③供应商应通过苏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平台，在响应文件提交截止时间</w:t>
      </w:r>
      <w:r>
        <w:rPr>
          <w:rFonts w:hint="eastAsia" w:ascii="宋体" w:hAnsi="宋体" w:eastAsia="宋体" w:cs="宋体"/>
          <w:sz w:val="24"/>
          <w:szCs w:val="24"/>
        </w:rPr>
        <w:t xml:space="preserve">前制作</w:t>
      </w:r>
      <w:r>
        <w:rPr>
          <w:rFonts w:hint="eastAsia" w:ascii="宋体" w:hAnsi="宋体" w:eastAsia="宋体" w:cs="宋体"/>
          <w:sz w:val="24"/>
          <w:szCs w:val="24"/>
        </w:rPr>
        <w:t xml:space="preserve">并上传电子响应文件。供应商上传电子响应文件的时间不得迟于招标公告中规定的截止时间。供应商应充分考虑到网络环境、网络带宽等风险因素，如因供应商自身原因造成的电子响应文件上传不成功的做无效响应处理。招标人可以按照规定，通过修改招标文件酌情延长截止日期，在此情况下，供应商的所有权利和义务以及供应商受制的截止日期均应以延长后新的截止日期为准。</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④响应文件的开启由苏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平台主持，邀请供应商参加。响应文件开启时，苏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平台自动提取所有响应文件。响应文件开启解密之后30分钟内，供应商通过苏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平台（使用“CA数字证书”）按时在线解密。响应文件解密失败的补救方案:无。</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⑤供应商应当参加响应文件开启和在苏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平台规定的时间内对电子响应文件进行解密。供应商在响应文件开启过程中涉及到的响应文件解密、结果确认等工作，应按照《操作手册》规定执行。供应商如果对响应文件开启过程和开启记录有疑义，应当根据《操作手册》规定提出，如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平台中《报价记录表》宣布后5分钟内未提出的，视同认可开启结果。</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⑥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标可以继续进行。</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⑦</w:t>
      </w:r>
      <w:r>
        <w:rPr>
          <w:rFonts w:ascii="宋体" w:hAnsi="宋体" w:eastAsia="宋体" w:cs="宋体"/>
          <w:sz w:val="24"/>
          <w:szCs w:val="24"/>
        </w:rPr>
        <w:t xml:space="preserve">开评标全过程中，各投标人参与远程交互的授权委托人或法人代表应始终为同一个人，中途不得更换，在异议提出等特殊情况下需要交互时，投标人一端参与交互的人员将均被视为是投标人的授权委托人或法人代表，投标人不得以不承认交互人员的资格或身份等为借口抵赖推脱，投标人自行承担随意更换人员所导致的一切后果。</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⑧</w:t>
      </w:r>
      <w:r>
        <w:rPr>
          <w:rFonts w:ascii="宋体" w:hAnsi="宋体" w:eastAsia="宋体" w:cs="宋体"/>
          <w:sz w:val="24"/>
          <w:szCs w:val="24"/>
        </w:rPr>
        <w:t xml:space="preserve">为顺利实现本项目开评标的远程交互，建议</w:t>
      </w:r>
      <w:r>
        <w:rPr>
          <w:rFonts w:hint="eastAsia" w:ascii="宋体" w:hAnsi="宋体" w:eastAsia="宋体" w:cs="宋体"/>
          <w:sz w:val="24"/>
          <w:szCs w:val="24"/>
        </w:rPr>
        <w:t xml:space="preserve">供应商</w:t>
      </w:r>
      <w:r>
        <w:rPr>
          <w:rFonts w:ascii="宋体" w:hAnsi="宋体" w:eastAsia="宋体" w:cs="宋体"/>
          <w:sz w:val="24"/>
          <w:szCs w:val="24"/>
        </w:rPr>
        <w:t xml:space="preserve">配置的硬件设施有：高配置电脑、高速稳定的网络、电源（不间断）、CA锁、音视频设备（话筒、耳麦、高清摄像头、音响）、扫描仪、打印机、传真机、高清视频监控等；建议</w:t>
      </w:r>
      <w:r>
        <w:rPr>
          <w:rFonts w:hint="eastAsia" w:ascii="宋体" w:hAnsi="宋体" w:eastAsia="宋体" w:cs="宋体"/>
          <w:sz w:val="24"/>
          <w:szCs w:val="24"/>
        </w:rPr>
        <w:t xml:space="preserve">供应商</w:t>
      </w:r>
      <w:r>
        <w:rPr>
          <w:rFonts w:ascii="宋体" w:hAnsi="宋体" w:eastAsia="宋体" w:cs="宋体"/>
          <w:sz w:val="24"/>
          <w:szCs w:val="24"/>
        </w:rPr>
        <w:t xml:space="preserve">具备的软件设施有：</w:t>
      </w:r>
      <w:r>
        <w:rPr>
          <w:rFonts w:hint="eastAsia" w:ascii="宋体" w:hAnsi="宋体" w:eastAsia="宋体" w:cs="宋体"/>
          <w:sz w:val="24"/>
          <w:szCs w:val="24"/>
        </w:rPr>
        <w:t xml:space="preserve">谷歌浏览器</w:t>
      </w:r>
      <w:r>
        <w:rPr>
          <w:rFonts w:hint="eastAsia" w:ascii="宋体" w:hAnsi="宋体" w:eastAsia="宋体" w:cs="宋体"/>
          <w:sz w:val="24"/>
          <w:szCs w:val="24"/>
        </w:rPr>
        <w:t xml:space="preserve">、政府采购客户端、CA驱动等</w:t>
      </w:r>
      <w:r>
        <w:rPr>
          <w:rFonts w:ascii="宋体" w:hAnsi="宋体" w:eastAsia="宋体" w:cs="宋体"/>
          <w:sz w:val="24"/>
          <w:szCs w:val="24"/>
        </w:rPr>
        <w:t xml:space="preserve">。为保证交互效果，建议</w:t>
      </w:r>
      <w:r>
        <w:rPr>
          <w:rFonts w:hint="eastAsia" w:ascii="宋体" w:hAnsi="宋体" w:eastAsia="宋体" w:cs="宋体"/>
          <w:sz w:val="24"/>
          <w:szCs w:val="24"/>
        </w:rPr>
        <w:t xml:space="preserve">供应商</w:t>
      </w:r>
      <w:r>
        <w:rPr>
          <w:rFonts w:ascii="宋体" w:hAnsi="宋体" w:eastAsia="宋体" w:cs="宋体"/>
          <w:sz w:val="24"/>
          <w:szCs w:val="24"/>
        </w:rPr>
        <w:t xml:space="preserve">选择封闭安静的地点参与远程交互。因</w:t>
      </w:r>
      <w:r>
        <w:rPr>
          <w:rFonts w:hint="eastAsia" w:ascii="宋体" w:hAnsi="宋体" w:eastAsia="宋体" w:cs="宋体"/>
          <w:sz w:val="24"/>
          <w:szCs w:val="24"/>
        </w:rPr>
        <w:t xml:space="preserve">供应商</w:t>
      </w:r>
      <w:r>
        <w:rPr>
          <w:rFonts w:ascii="宋体" w:hAnsi="宋体" w:eastAsia="宋体" w:cs="宋体"/>
          <w:sz w:val="24"/>
          <w:szCs w:val="24"/>
        </w:rPr>
        <w:t xml:space="preserve">自身软硬件配备不齐全或发生故障等问题而导致在交互过程中出现不稳定或中断等情况的，由</w:t>
      </w:r>
      <w:r>
        <w:rPr>
          <w:rFonts w:hint="eastAsia" w:ascii="宋体" w:hAnsi="宋体" w:eastAsia="宋体" w:cs="宋体"/>
          <w:sz w:val="24"/>
          <w:szCs w:val="24"/>
        </w:rPr>
        <w:t xml:space="preserve">供应商</w:t>
      </w:r>
      <w:r>
        <w:rPr>
          <w:rFonts w:ascii="宋体" w:hAnsi="宋体" w:eastAsia="宋体" w:cs="宋体"/>
          <w:sz w:val="24"/>
          <w:szCs w:val="24"/>
        </w:rPr>
        <w:t xml:space="preserve">自身承担一切后果。</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3、投标的有效期为开标后90天。</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4、投标费用自理。</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七、无效投标文件的确认：</w:t>
      </w:r>
      <w:r/>
    </w:p>
    <w:p>
      <w:pPr>
        <w:ind w:firstLine="482"/>
        <w:spacing w:line="400" w:lineRule="exact"/>
        <w:tabs>
          <w:tab w:val="left" w:pos="1050" w:leader="none"/>
        </w:tabs>
        <w:rPr>
          <w:rFonts w:ascii="宋体" w:hAnsi="宋体" w:eastAsia="宋体" w:cs="Times New Roman"/>
          <w:b/>
          <w:bCs/>
          <w:sz w:val="24"/>
          <w:szCs w:val="24"/>
        </w:rPr>
      </w:pPr>
      <w:r>
        <w:rPr>
          <w:rFonts w:hint="eastAsia" w:ascii="宋体" w:hAnsi="宋体" w:eastAsia="宋体" w:cs="Times New Roman"/>
          <w:b/>
          <w:bCs/>
          <w:sz w:val="24"/>
          <w:szCs w:val="24"/>
        </w:rPr>
        <w:t xml:space="preserve">（一）投标人存在下列情况之一的，其投标无效：</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1、投标文件未按招标文件要求签署、盖章的；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2、不具备招标文件中规定的资格要求的，未提供格式条款《关于资格的声明函》承诺书或者对该承诺书作实质性修改的；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3、报价超过招标文件中规定的预算金额或者最高限价的；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4、投标文件含有采购人不能接受的附加条件的；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5、投标文件未按规定的期限、地点送达的；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6、投标文件内容未实质性响应或不符合法律法规和招标文件中规定的其它实质性要求的；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7、投标文件中同一方案有选择性报价且未声明以哪一个为准的；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8、不响应招标文件中的付款方式的；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9、其他法律、法规及本招标文件规定的属无效投标的情形。</w:t>
      </w:r>
      <w:r/>
    </w:p>
    <w:p>
      <w:pPr>
        <w:ind w:firstLine="482"/>
        <w:spacing w:line="400" w:lineRule="exact"/>
        <w:tabs>
          <w:tab w:val="left" w:pos="1050" w:leader="none"/>
        </w:tabs>
        <w:rPr>
          <w:rFonts w:ascii="宋体" w:hAnsi="宋体" w:eastAsia="宋体" w:cs="Times New Roman"/>
          <w:b/>
          <w:bCs/>
          <w:sz w:val="24"/>
          <w:szCs w:val="24"/>
        </w:rPr>
      </w:pPr>
      <w:r>
        <w:rPr>
          <w:rFonts w:hint="eastAsia" w:ascii="宋体" w:hAnsi="宋体" w:eastAsia="宋体" w:cs="Times New Roman"/>
          <w:b/>
          <w:bCs/>
          <w:sz w:val="24"/>
          <w:szCs w:val="24"/>
        </w:rPr>
        <w:t xml:space="preserve">（二）投标人有下列情形之一的，视为串通投标，其投标无效，并按《中华人民共和国政府采购法》第七十七条规定追究法律责任：</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1、投标单位直接或间接从采购人或采购代理机构处获得其他投标单位的投标情况，并修改其投标文件；</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2、评审活动开始前投标单位直接或间接从采购人或采购代理机构处获得评标委员会组成人员情况；</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3、投标单位接受采购人或采购代理机构授意撤换、修改投标文件；</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4、投标单位之间协商投标报价、技术方案等投标文件实质性内容；</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5、属于同一集团、协会、商会等组织成员的投标单位按照该组织要求协同投标；</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6、投标单位之间事先约定由某一特定投标单位中标；</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7、投标单位之间商定部分投标单位放弃投标或者放弃中标；</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8、投标单位与采购人或采购代理机构之间、投标单位相互之间为谋求特定投标单位中标成交或者排斥其他投标单位的其他串通行为；</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9、不同投标人的投标文件由同一单位或者个人编制；</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10、不同投标人委托同一单位或者个人办理投标事宜；</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11、不同投标人的投标文件载明的项目管理成员为同一人；</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12、不同投标人的投标文件异常一致或者投标报价呈规律性差异；</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13、不同投标人的投标文件相互混装。</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八、开标、评标：</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（一）开标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w:t>
      </w:r>
      <w:r>
        <w:rPr>
          <w:rFonts w:hint="eastAsia" w:ascii="宋体" w:hAnsi="宋体" w:eastAsia="宋体" w:cs="Times New Roman"/>
          <w:bCs/>
          <w:sz w:val="24"/>
          <w:szCs w:val="24"/>
        </w:rPr>
        <w:t xml:space="preserve">开标由江阴市政府采购中心主持。</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w:t>
      </w:r>
      <w:r>
        <w:rPr>
          <w:rFonts w:ascii="宋体" w:hAnsi="宋体" w:eastAsia="宋体" w:cs="Times New Roman"/>
          <w:sz w:val="24"/>
          <w:szCs w:val="24"/>
        </w:rPr>
        <w:t xml:space="preserve">开标过程由</w:t>
      </w:r>
      <w:r>
        <w:rPr>
          <w:rFonts w:hint="eastAsia" w:ascii="宋体" w:hAnsi="宋体" w:eastAsia="宋体" w:cs="Times New Roman"/>
          <w:sz w:val="24"/>
          <w:szCs w:val="24"/>
        </w:rPr>
        <w:t xml:space="preserve">江阴市政府采购中心</w:t>
      </w:r>
      <w:r>
        <w:rPr>
          <w:rFonts w:ascii="宋体" w:hAnsi="宋体" w:eastAsia="宋体" w:cs="Times New Roman"/>
          <w:sz w:val="24"/>
          <w:szCs w:val="24"/>
        </w:rPr>
        <w:t xml:space="preserve">负责记录。</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w:t>
      </w:r>
      <w:r>
        <w:rPr>
          <w:rFonts w:ascii="宋体" w:hAnsi="宋体" w:eastAsia="宋体" w:cs="Times New Roman"/>
          <w:sz w:val="24"/>
          <w:szCs w:val="24"/>
        </w:rPr>
        <w:t xml:space="preserve">投标人未参加开标的，视同认可开标结果。</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（二）评标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评标工作由江阴市政府采购中心负责组织，具体评标事务由依法组建的评标委员会负责。采购人依法组成资格审查小组对投标人的资格进行审查。采购人代表和评审专家依法组建评标委员会，评审专家实行回避制度。</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2、投标文件初审。初审分为资格性检查和符合性检查。</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A、资格性检查：</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（1）依据法律法规和招标文件的规定，资格审查小组对投标文件组成中的资格证明文件（文件1-文件2）等进行审查，以确定投标单位是否具备投标资格。</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w:t>
      </w:r>
      <w:r>
        <w:rPr>
          <w:rFonts w:ascii="宋体" w:hAnsi="宋体" w:eastAsia="宋体" w:cs="Times New Roman"/>
          <w:sz w:val="24"/>
          <w:szCs w:val="24"/>
        </w:rPr>
        <w:t xml:space="preserve">通过“信用中国”网站查询投标供应商在投标截止时间之前，是否被列入失信被执行人、重大税收违法失信主体、政府采购严重违法失信行为记录名单，以确定投标供应</w:t>
      </w:r>
      <w:r>
        <w:rPr>
          <w:rFonts w:ascii="宋体" w:hAnsi="宋体" w:eastAsia="宋体" w:cs="Times New Roman"/>
          <w:sz w:val="24"/>
          <w:szCs w:val="24"/>
        </w:rPr>
        <w:t xml:space="preserve">商是否具备投标资格。信用查询结果以网页打印的形式留存并归档。</w:t>
      </w:r>
      <w:r>
        <w:rPr>
          <w:rFonts w:hint="eastAsia" w:ascii="宋体" w:hAnsi="宋体" w:eastAsia="宋体" w:cs="Times New Roman"/>
          <w:sz w:val="24"/>
          <w:szCs w:val="24"/>
        </w:rPr>
        <w:t xml:space="preserve">接受联合体的项目，两个以上的自然人、法人或者其他组织组成一个联合体，以一个投标单位的身份共同参加政府采购活动的，联合体成员存在不良信用记录的，视同联合体存在不良信用记录。</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B、符合性检查：</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（1）评标委员会依据招标文件的规定，从投标文件的有效性、完整性和对招标文件的响应程度进行审查，以确定是否对招标文件的实质性要求</w:t>
      </w:r>
      <w:r>
        <w:rPr>
          <w:rFonts w:hint="eastAsia" w:ascii="宋体" w:hAnsi="宋体" w:eastAsia="宋体" w:cs="Times New Roman"/>
          <w:sz w:val="24"/>
          <w:szCs w:val="24"/>
        </w:rPr>
        <w:t xml:space="preserve">作出</w:t>
      </w:r>
      <w:r>
        <w:rPr>
          <w:rFonts w:hint="eastAsia" w:ascii="宋体" w:hAnsi="宋体" w:eastAsia="宋体" w:cs="Times New Roman"/>
          <w:sz w:val="24"/>
          <w:szCs w:val="24"/>
        </w:rPr>
        <w:t xml:space="preserve">响应。</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在详细评审之前，评标委员会将审查每份投标文件是否实质上响应了招标文件的要求。实质上响应招标文件的投标文件应该是与招标文件要求的全部条款、条件和规格相符，没有重大偏离或保留的投标响应。所谓重大偏离是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（a）投标文件载明的采购项目的完成期限超过招标文件规定的期限</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（b）投标文件严重背离招标文件中确定的技术功能要求</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（c）投标文件附有采购人不能接受的商务条件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（d）不符合招标文件中规定的其他实质性要求</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确定投标文件的</w:t>
      </w:r>
      <w:r>
        <w:rPr>
          <w:rFonts w:hint="eastAsia" w:ascii="宋体" w:hAnsi="宋体" w:eastAsia="宋体" w:cs="Times New Roman"/>
          <w:sz w:val="24"/>
          <w:szCs w:val="24"/>
        </w:rPr>
        <w:t xml:space="preserve">响应性只根据</w:t>
      </w:r>
      <w:r>
        <w:rPr>
          <w:rFonts w:hint="eastAsia" w:ascii="宋体" w:hAnsi="宋体" w:eastAsia="宋体" w:cs="Times New Roman"/>
          <w:sz w:val="24"/>
          <w:szCs w:val="24"/>
        </w:rPr>
        <w:t xml:space="preserve">投标文件本身的内容，而不寻求外部证据。</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如果投标文件没有实质上响应招标文件的要求，</w:t>
      </w:r>
      <w:r>
        <w:rPr>
          <w:rFonts w:ascii="宋体" w:hAnsi="宋体" w:eastAsia="宋体" w:cs="Times New Roman"/>
          <w:sz w:val="24"/>
          <w:szCs w:val="24"/>
        </w:rPr>
        <w:t xml:space="preserve">评标委员会</w:t>
      </w:r>
      <w:r>
        <w:rPr>
          <w:rFonts w:hint="eastAsia" w:ascii="宋体" w:hAnsi="宋体" w:eastAsia="宋体" w:cs="Times New Roman"/>
          <w:sz w:val="24"/>
          <w:szCs w:val="24"/>
        </w:rPr>
        <w:t xml:space="preserve">将予以拒绝。投标人不得通过修正或撤消不合要求的偏离或保留从而使其投标成为实质上响应的投标。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3、评标方法：具体办法和标准详见招标文件第四章《评标方法和评标标准》。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4、投标文件的澄清：</w:t>
      </w:r>
      <w:r>
        <w:rPr>
          <w:rFonts w:ascii="宋体" w:hAnsi="宋体" w:eastAsia="宋体" w:cs="Times New Roman"/>
          <w:sz w:val="24"/>
          <w:szCs w:val="24"/>
        </w:rPr>
        <w:t xml:space="preserve">对于投标文件中含义不明确、同类问题表述不一致或者有明显文字和计算错误的内容，评标委员会应当以书面形式要求投标人</w:t>
      </w:r>
      <w:r>
        <w:rPr>
          <w:rFonts w:ascii="宋体" w:hAnsi="宋体" w:eastAsia="宋体" w:cs="Times New Roman"/>
          <w:sz w:val="24"/>
          <w:szCs w:val="24"/>
        </w:rPr>
        <w:t xml:space="preserve">作出</w:t>
      </w:r>
      <w:r>
        <w:rPr>
          <w:rFonts w:ascii="宋体" w:hAnsi="宋体" w:eastAsia="宋体" w:cs="Times New Roman"/>
          <w:sz w:val="24"/>
          <w:szCs w:val="24"/>
        </w:rPr>
        <w:t xml:space="preserve">必要的澄清、说明或者补正。</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投标人的澄清、说明或者补正应当采用书面形式，并加盖公章，或者由法定代表人或其授权</w:t>
      </w:r>
      <w:r>
        <w:rPr>
          <w:rFonts w:hint="eastAsia" w:ascii="宋体" w:hAnsi="宋体" w:eastAsia="宋体" w:cs="Times New Roman"/>
          <w:sz w:val="24"/>
          <w:szCs w:val="24"/>
        </w:rPr>
        <w:t xml:space="preserve">委托人</w:t>
      </w:r>
      <w:r>
        <w:rPr>
          <w:rFonts w:ascii="宋体" w:hAnsi="宋体" w:eastAsia="宋体" w:cs="Times New Roman"/>
          <w:sz w:val="24"/>
          <w:szCs w:val="24"/>
        </w:rPr>
        <w:t xml:space="preserve">签字。投标人的澄清、说明或者补正不得超出投标文件的范围或者改变投标文件的实质性内容。</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w:t>
      </w:r>
      <w:r>
        <w:rPr>
          <w:rFonts w:ascii="宋体" w:hAnsi="宋体" w:eastAsia="宋体" w:cs="Times New Roman"/>
          <w:sz w:val="24"/>
          <w:szCs w:val="24"/>
        </w:rPr>
        <w:t xml:space="preserve">投标文件报价出现前后不一致的，按照下列规定修正：</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（一）投标文件中开标一览表（报价表）内容与投标文件中相应内容不一致的，以开标一览表（报价表）为准；</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（二）大写金额和小写金额不一致的，以大写金额为准；</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（三）单价金额小数点或者百分比有明显错位的，以开标一览表的总价为准，并修改单价；</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（四）总价金额与按单价汇总金额不一致的，以单价金额计算结果为准。</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同时出现两种以上不一致的，按照前款规定的顺序修正。修正后的报价按照</w:t>
      </w:r>
      <w:r>
        <w:rPr>
          <w:rFonts w:hint="eastAsia" w:ascii="宋体" w:hAnsi="宋体" w:eastAsia="宋体" w:cs="Times New Roman"/>
          <w:sz w:val="24"/>
          <w:szCs w:val="24"/>
        </w:rPr>
        <w:t xml:space="preserve">《政府采购货物和服务招标投标管理办法》</w:t>
      </w:r>
      <w:r>
        <w:rPr>
          <w:rFonts w:ascii="宋体" w:hAnsi="宋体" w:eastAsia="宋体" w:cs="Times New Roman"/>
          <w:sz w:val="24"/>
          <w:szCs w:val="24"/>
        </w:rPr>
        <w:t xml:space="preserve">第五十一条第二款的规定经投标人确认后产生约束力，投标人不确认的，其投标无效。</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6、异常低价投标（响应）审查</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（1）评标（评审）过程中出现下列情形之一的，评标（评审）委员会应当启动异常低</w:t>
      </w:r>
      <w:r>
        <w:rPr>
          <w:rFonts w:hint="eastAsia" w:ascii="宋体" w:hAnsi="宋体" w:eastAsia="宋体" w:cs="Times New Roman"/>
          <w:b/>
          <w:sz w:val="24"/>
          <w:szCs w:val="24"/>
        </w:rPr>
        <w:t xml:space="preserve">价投标（响应）审查程序：</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（a）投标（响应）报价低于采购项目预算50%的，即投标（响应）报价＜采购项目预算×50%；</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（b）投标（响应）报价低于采购项目最高限价45%的，即投标（响应）报价＜采购项目最高限价×45%；</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（c）评标（评审）委员会认定的供应商报价过低、有可能影响产品质量或者不能诚信履约的其他情形。</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（2）启动异常低价投标（响应）审查后，评标（评审）委员会应当要求相关供应商在评标现场合理的时间内,提供项目具体成本测算等与报价合理性相关的书面说明及相关证明材料，对投标（响应）价格</w:t>
      </w:r>
      <w:r>
        <w:rPr>
          <w:rFonts w:hint="eastAsia" w:ascii="宋体" w:hAnsi="宋体" w:eastAsia="宋体" w:cs="Times New Roman"/>
          <w:b/>
          <w:sz w:val="24"/>
          <w:szCs w:val="24"/>
        </w:rPr>
        <w:t xml:space="preserve">作出</w:t>
      </w:r>
      <w:r>
        <w:rPr>
          <w:rFonts w:hint="eastAsia" w:ascii="宋体" w:hAnsi="宋体" w:eastAsia="宋体" w:cs="Times New Roman"/>
          <w:b/>
          <w:sz w:val="24"/>
          <w:szCs w:val="24"/>
        </w:rPr>
        <w:t xml:space="preserve">解释，由评标（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评审）委员会应当将其作为无效投标（响应）处理。审查相关情况应当在评标（评审）报告中进行记录。</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w:t>
      </w:r>
      <w:r>
        <w:rPr>
          <w:rFonts w:ascii="宋体" w:hAnsi="宋体" w:eastAsia="宋体" w:cs="Times New Roman"/>
          <w:sz w:val="24"/>
          <w:szCs w:val="24"/>
        </w:rPr>
        <w:t xml:space="preserve">评标委员会发现招标文件存在歧义、重大缺陷导致评标工作无法进行，或者招标文件内容违反国家有关强制性规定的，应当停止评标工作，与采购人或者</w:t>
      </w:r>
      <w:r>
        <w:rPr>
          <w:rFonts w:hint="eastAsia" w:ascii="宋体" w:hAnsi="宋体" w:eastAsia="宋体" w:cs="Times New Roman"/>
          <w:sz w:val="24"/>
          <w:szCs w:val="24"/>
        </w:rPr>
        <w:t xml:space="preserve">政府采购中心</w:t>
      </w:r>
      <w:r>
        <w:rPr>
          <w:rFonts w:ascii="宋体" w:hAnsi="宋体" w:eastAsia="宋体" w:cs="Times New Roman"/>
          <w:sz w:val="24"/>
          <w:szCs w:val="24"/>
        </w:rPr>
        <w:t xml:space="preserve">沟通并作书面记录。采购人或者</w:t>
      </w:r>
      <w:r>
        <w:rPr>
          <w:rFonts w:hint="eastAsia" w:ascii="宋体" w:hAnsi="宋体" w:eastAsia="宋体" w:cs="Times New Roman"/>
          <w:sz w:val="24"/>
          <w:szCs w:val="24"/>
        </w:rPr>
        <w:t xml:space="preserve">政府采购中心</w:t>
      </w:r>
      <w:r>
        <w:rPr>
          <w:rFonts w:ascii="宋体" w:hAnsi="宋体" w:eastAsia="宋体" w:cs="Times New Roman"/>
          <w:sz w:val="24"/>
          <w:szCs w:val="24"/>
        </w:rPr>
        <w:t xml:space="preserve">确认后，应当修改招标文件，重新组织采购活动。</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九、确定中标单位：</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1、评标委员会根据</w:t>
      </w:r>
      <w:r>
        <w:rPr>
          <w:rFonts w:hint="eastAsia" w:ascii="宋体" w:hAnsi="宋体" w:eastAsia="宋体" w:cs="Times New Roman"/>
          <w:bCs/>
          <w:sz w:val="24"/>
          <w:szCs w:val="24"/>
        </w:rPr>
        <w:t xml:space="preserve">评标方法和评标标准确定</w:t>
      </w:r>
      <w:r>
        <w:rPr>
          <w:rFonts w:hint="eastAsia" w:ascii="宋体" w:hAnsi="宋体" w:eastAsia="宋体" w:cs="Times New Roman"/>
          <w:sz w:val="24"/>
          <w:szCs w:val="24"/>
        </w:rPr>
        <w:t xml:space="preserve">第一中标候选单位，采购人确定为中标单位。</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2、确定中标单位2个工作日内发布中标公告，并向中标单位发出中标通知书。</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3、投标、评标及确定中标单位的整个过程均由相关部门进行现场监督。</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4、江阴市政府采购中心不负责向任何投标单位说明中标或不中标的原因。</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十、质疑处理：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1、投标单位</w:t>
      </w:r>
      <w:r>
        <w:rPr>
          <w:rFonts w:hint="eastAsia" w:ascii="宋体" w:hAnsi="宋体" w:eastAsia="宋体" w:cs="Times New Roman"/>
          <w:sz w:val="24"/>
          <w:szCs w:val="24"/>
        </w:rPr>
        <w:t xml:space="preserve">质疑按</w:t>
      </w:r>
      <w:r>
        <w:rPr>
          <w:rFonts w:hint="eastAsia" w:ascii="宋体" w:hAnsi="宋体" w:eastAsia="宋体" w:cs="Times New Roman"/>
          <w:sz w:val="24"/>
          <w:szCs w:val="24"/>
        </w:rPr>
        <w:t xml:space="preserve">《中华人民共和国政府采购法》、《中华人民共和国政府采购法实施条例》、《政府采购货物和服务招标投标管理办法》、《政府采购质疑和投诉办法》、《江苏省政府采购供应商监督管理暂行办法》有关规定处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2、投标单位认为采购文件、采购过程和中标结果使自己的权益受到损害的，可以在知道或者应知其权益受到损害之日起七个工作日内，以书面形式向采购人或采购中心提出质疑。</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单位对采购文件提出质疑的，应在采购公告期限届满之日起七个工作日内提出；投标单位对采购过程提出质疑的，应在采购程序环节结束之日起七个工作日内提出；投标单位对中标结果提出质疑的，应在中标结果公告期限届满之日起七个工作日内提出。</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3、投标单位提出质疑应当提交质疑函和必要的证明材料。质疑</w:t>
      </w:r>
      <w:r>
        <w:rPr>
          <w:rFonts w:hint="eastAsia" w:ascii="宋体" w:hAnsi="宋体" w:eastAsia="宋体" w:cs="Times New Roman"/>
          <w:sz w:val="24"/>
          <w:szCs w:val="24"/>
        </w:rPr>
        <w:t xml:space="preserve">函应当</w:t>
      </w:r>
      <w:r>
        <w:rPr>
          <w:rFonts w:hint="eastAsia" w:ascii="宋体" w:hAnsi="宋体" w:eastAsia="宋体" w:cs="Times New Roman"/>
          <w:sz w:val="24"/>
          <w:szCs w:val="24"/>
        </w:rPr>
        <w:t xml:space="preserve">包括下列内容：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（1）投标单位的姓名或者名称、地址、邮编、联系人及联系电话；</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（2）质疑项目的名称、编号；</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（3）具体、明确的质疑事项和与质疑事项相关的请求；</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（4）事实依据；</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（5）必要的法律依据；</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（6）提出质疑的日期。</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单位为自然人的，应当由本人签字；投标单位为法人或者其他组织的，应当由法定代表人、主要负责人签字或者盖章，并加盖公章。投标单位委托代理人提出质疑的，应当提交投标单位签署的授权委托书。其授权委托书应当载明代理人的姓名或者名称、代理事项、具体权限、期限和相关事项。</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（7）质疑人以联合体形</w:t>
      </w:r>
      <w:r>
        <w:rPr>
          <w:rFonts w:hint="eastAsia" w:ascii="宋体" w:hAnsi="宋体" w:eastAsia="宋体" w:cs="Times New Roman"/>
          <w:sz w:val="24"/>
          <w:szCs w:val="24"/>
        </w:rPr>
        <w:t xml:space="preserve">式参加</w:t>
      </w:r>
      <w:r>
        <w:rPr>
          <w:rFonts w:hint="eastAsia" w:ascii="宋体" w:hAnsi="宋体" w:eastAsia="宋体" w:cs="Times New Roman"/>
          <w:sz w:val="24"/>
          <w:szCs w:val="24"/>
        </w:rPr>
        <w:t xml:space="preserve">采购活动的，其质疑应由组成联合体的所有供应商共同提出。</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（8）质疑函、授权委托书格式请到江阴市公共资源交易中心网站的“政府采购</w:t>
      </w:r>
      <w:r>
        <w:rPr>
          <w:rFonts w:hint="eastAsia" w:ascii="宋体" w:hAnsi="宋体" w:eastAsia="宋体" w:cs="Times New Roman"/>
          <w:bCs/>
          <w:sz w:val="24"/>
          <w:szCs w:val="24"/>
        </w:rPr>
        <w:t xml:space="preserve">——＞</w:t>
      </w:r>
      <w:r>
        <w:rPr>
          <w:rFonts w:hint="eastAsia" w:ascii="宋体" w:hAnsi="宋体" w:eastAsia="宋体" w:cs="Times New Roman"/>
          <w:sz w:val="24"/>
          <w:szCs w:val="24"/>
        </w:rPr>
        <w:t xml:space="preserve">资料下载”中下载；</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（9）未按上述要求提交的质疑函（仅限于原件）采购人、采购中心有权不予受理。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投标单位须在法定质疑期内一次性提出针对同一采购程序环节的质疑，已受理的质疑事项，不再接受投标单位主动提出的相关补充材料。投标单位如在法定期限内对同一采购程序环节提出多次质疑的，采购人、采购中心将只对其第一次质疑</w:t>
      </w:r>
      <w:r>
        <w:rPr>
          <w:rFonts w:hint="eastAsia" w:ascii="宋体" w:hAnsi="宋体" w:eastAsia="宋体" w:cs="Times New Roman"/>
          <w:sz w:val="24"/>
          <w:szCs w:val="24"/>
        </w:rPr>
        <w:t xml:space="preserve">作出</w:t>
      </w:r>
      <w:r>
        <w:rPr>
          <w:rFonts w:hint="eastAsia" w:ascii="宋体" w:hAnsi="宋体" w:eastAsia="宋体" w:cs="Times New Roman"/>
          <w:sz w:val="24"/>
          <w:szCs w:val="24"/>
        </w:rPr>
        <w:t xml:space="preserve">答复。提出质疑的投标单位应当是参与所质疑项目采购活动的投标单位。</w:t>
      </w:r>
      <w:r/>
    </w:p>
    <w:p>
      <w:pPr>
        <w:ind w:firstLine="480"/>
        <w:spacing w:line="400" w:lineRule="exact"/>
        <w:rPr>
          <w:rFonts w:ascii="宋体" w:hAnsi="宋体" w:eastAsia="宋体" w:cs="Times New Roman"/>
          <w:b/>
          <w:sz w:val="24"/>
          <w:szCs w:val="24"/>
        </w:rPr>
      </w:pPr>
      <w:r>
        <w:rPr>
          <w:rFonts w:hint="eastAsia" w:ascii="宋体" w:hAnsi="宋体" w:eastAsia="宋体" w:cs="Times New Roman"/>
          <w:sz w:val="24"/>
          <w:szCs w:val="24"/>
        </w:rPr>
        <w:t xml:space="preserve">5、</w:t>
      </w:r>
      <w:r>
        <w:rPr>
          <w:rFonts w:hint="eastAsia" w:ascii="宋体" w:hAnsi="宋体" w:eastAsia="宋体" w:cs="Times New Roman"/>
          <w:b/>
          <w:sz w:val="24"/>
          <w:szCs w:val="24"/>
        </w:rPr>
        <w:t xml:space="preserve">投标单位（含潜在投标单位）对采购方式、采购需求、供应商资格条件及审查结果、评标方法和评标标准、合同文本的询问、质疑请向采购人提出，由采购人负责答复。对除上述事项以外其他事项的询问、质疑请向采购中心提出，由采购中心配合答复。</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采购人、采购中心只接收以纸质原件形式送达的质疑,投标单位可采用现场递交或邮寄递交方式送达（采购人和采购中心不接受未填写快递运单的快件）。</w:t>
      </w:r>
      <w:r/>
    </w:p>
    <w:p>
      <w:pPr>
        <w:ind w:firstLine="480"/>
        <w:spacing w:line="400" w:lineRule="exact"/>
        <w:rPr>
          <w:rFonts w:ascii="宋体" w:hAnsi="宋体" w:eastAsia="宋体" w:cs="Times New Roman"/>
          <w:sz w:val="24"/>
          <w:szCs w:val="24"/>
          <w:u w:val="single"/>
        </w:rPr>
      </w:pPr>
      <w:r>
        <w:rPr>
          <w:rFonts w:hint="eastAsia" w:ascii="宋体" w:hAnsi="宋体" w:eastAsia="宋体" w:cs="Times New Roman"/>
          <w:sz w:val="24"/>
          <w:szCs w:val="24"/>
          <w:u w:val="single"/>
        </w:rPr>
        <w:t xml:space="preserve">采购人收件人：陆先生      收件地址：江阴市五星路999号江阴市第三人民医院6号楼信息科   收件电话：18115326005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u w:val="single"/>
        </w:rPr>
        <w:t xml:space="preserve">采购中心收件人：张先生  收件地址：江阴市长江路188号江阴市政务服务中心619、621室  收件电话：18961621156</w:t>
      </w:r>
      <w:r/>
    </w:p>
    <w:p>
      <w:pPr>
        <w:ind w:firstLine="482"/>
        <w:spacing w:line="400" w:lineRule="exact"/>
        <w:rPr>
          <w:rFonts w:ascii="宋体" w:hAnsi="宋体" w:eastAsia="宋体" w:cs="Times New Roman"/>
          <w:sz w:val="24"/>
          <w:szCs w:val="24"/>
        </w:rPr>
      </w:pPr>
      <w:r>
        <w:rPr>
          <w:rFonts w:hint="eastAsia" w:ascii="宋体" w:hAnsi="宋体" w:eastAsia="宋体" w:cs="Times New Roman"/>
          <w:b/>
          <w:sz w:val="24"/>
          <w:szCs w:val="24"/>
        </w:rPr>
        <w:t xml:space="preserve">投标单位应当在快递寄出后联系采购人或采购中心告知质疑函接收时间及质疑函快递单号</w:t>
      </w:r>
      <w:r>
        <w:rPr>
          <w:rFonts w:hint="eastAsia" w:ascii="宋体" w:hAnsi="宋体" w:eastAsia="宋体" w:cs="Times New Roman"/>
          <w:sz w:val="24"/>
          <w:szCs w:val="24"/>
        </w:rPr>
        <w:t xml:space="preserve">，因未告知接收时间导致未及时答复质疑的，采购人、采购中心将不予承担责任。</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6、潜在投标单位已依法获取其可质疑的采购文件的，可以对该文件提出质疑。</w:t>
      </w:r>
      <w:r>
        <w:rPr>
          <w:rFonts w:hint="eastAsia" w:ascii="宋体" w:hAnsi="宋体" w:eastAsia="宋体" w:cs="Times New Roman"/>
          <w:b/>
          <w:sz w:val="24"/>
          <w:szCs w:val="24"/>
        </w:rPr>
        <w:t xml:space="preserve">潜在投标单位针对采购文件提出书面质疑的，须同时提供对可质疑的采购文件已进行依法获取的证明（即“苏</w:t>
      </w:r>
      <w:r>
        <w:rPr>
          <w:rFonts w:hint="eastAsia" w:ascii="宋体" w:hAnsi="宋体" w:eastAsia="宋体" w:cs="Times New Roman"/>
          <w:b/>
          <w:sz w:val="24"/>
          <w:szCs w:val="24"/>
        </w:rPr>
        <w:t xml:space="preserve">采云</w:t>
      </w:r>
      <w:r>
        <w:rPr>
          <w:rFonts w:hint="eastAsia" w:ascii="宋体" w:hAnsi="宋体" w:eastAsia="宋体" w:cs="Times New Roman"/>
          <w:b/>
          <w:sz w:val="24"/>
          <w:szCs w:val="24"/>
        </w:rPr>
        <w:t xml:space="preserve">”系统中本项目《投标供应商确认函》），且采购人、采购中心有权向“苏</w:t>
      </w:r>
      <w:r>
        <w:rPr>
          <w:rFonts w:hint="eastAsia" w:ascii="宋体" w:hAnsi="宋体" w:eastAsia="宋体" w:cs="Times New Roman"/>
          <w:b/>
          <w:sz w:val="24"/>
          <w:szCs w:val="24"/>
        </w:rPr>
        <w:t xml:space="preserve">采云</w:t>
      </w:r>
      <w:r>
        <w:rPr>
          <w:rFonts w:hint="eastAsia" w:ascii="宋体" w:hAnsi="宋体" w:eastAsia="宋体" w:cs="Times New Roman"/>
          <w:b/>
          <w:sz w:val="24"/>
          <w:szCs w:val="24"/>
        </w:rPr>
        <w:t xml:space="preserve">”系统平台方进行核实。</w:t>
      </w:r>
      <w:r>
        <w:rPr>
          <w:rFonts w:hint="eastAsia" w:ascii="宋体" w:hAnsi="宋体" w:eastAsia="宋体" w:cs="Times New Roman"/>
          <w:sz w:val="24"/>
          <w:szCs w:val="24"/>
        </w:rPr>
        <w:t xml:space="preserve">对采购文件提出质疑时，以非书面形式、属于对采购文件解释澄清范围、采购公告期限届满之日起七个工作日之外提交、未同时提供依法获取采购文件的证明以及匿名的质疑将不予受理。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投标单位对中标结果提出质疑时，以非书面形式、对招标文件、评标办法、评分细则及配分有异议、中标结果公告期限届满之日起七个工作日之外提交以及匿名的质疑将不予受理。未参加投标的投标单位或在投标活动中本身权益未受到损害或从投标活动中受益的投标单位所提出的质疑也不予受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8、投标单位提出质疑的应当有明确的请求和必要的证明材料，投标人提出书面质疑必须有理、有据，不得恶意质疑或提交虚假质疑。否则，一经查实，采购人、采购中心有权依据政府采购的有关规定，报请政府采购监管部门对该投标人进行相应的行政处罚。</w:t>
      </w:r>
      <w:r/>
    </w:p>
    <w:p>
      <w:pPr>
        <w:ind w:firstLine="480"/>
        <w:spacing w:line="400" w:lineRule="exact"/>
        <w:rPr>
          <w:rFonts w:ascii="宋体" w:hAnsi="宋体" w:eastAsia="宋体" w:cs="Times New Roman"/>
          <w:szCs w:val="24"/>
        </w:rPr>
      </w:pPr>
      <w:r>
        <w:rPr>
          <w:rFonts w:hint="eastAsia" w:ascii="宋体" w:hAnsi="宋体" w:eastAsia="宋体" w:cs="Times New Roman"/>
          <w:sz w:val="24"/>
          <w:szCs w:val="24"/>
        </w:rPr>
        <w:t xml:space="preserve">9、采购人、采购中心将在收到投标单位的有效书面质疑函后七个工作日内</w:t>
      </w:r>
      <w:r>
        <w:rPr>
          <w:rFonts w:hint="eastAsia" w:ascii="宋体" w:hAnsi="宋体" w:eastAsia="宋体" w:cs="Times New Roman"/>
          <w:sz w:val="24"/>
          <w:szCs w:val="24"/>
        </w:rPr>
        <w:t xml:space="preserve">作出</w:t>
      </w:r>
      <w:r>
        <w:rPr>
          <w:rFonts w:hint="eastAsia" w:ascii="宋体" w:hAnsi="宋体" w:eastAsia="宋体" w:cs="Times New Roman"/>
          <w:sz w:val="24"/>
          <w:szCs w:val="24"/>
        </w:rPr>
        <w:t xml:space="preserve">答复，并以书面形式通知质疑投标单位和其他有关投标单位，但答复的内容不得涉及商业秘密。 </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十一、采购项目的废标：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在评标采购中，出现下列情况之一的，应予废标；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1、符合专业条件的投标人或者对招标文件</w:t>
      </w:r>
      <w:r>
        <w:rPr>
          <w:rFonts w:hint="eastAsia" w:ascii="宋体" w:hAnsi="宋体" w:eastAsia="宋体" w:cs="Times New Roman"/>
          <w:sz w:val="24"/>
          <w:szCs w:val="24"/>
        </w:rPr>
        <w:t xml:space="preserve">作出</w:t>
      </w:r>
      <w:r>
        <w:rPr>
          <w:rFonts w:hint="eastAsia" w:ascii="宋体" w:hAnsi="宋体" w:eastAsia="宋体" w:cs="Times New Roman"/>
          <w:sz w:val="24"/>
          <w:szCs w:val="24"/>
        </w:rPr>
        <w:t xml:space="preserve">实质性响应的投标人不足三家的；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2、出现影响采购公正的违法、违规行为的；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3、投标单位的报价均超过采购预算，采购人不能支付的；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4、因重大变故，采购任务取消的。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满足《政府采购货物和服务招标投标管理办法》第四十三条的情形时，经评标委员会审查出具了“招标文件没有不合理条款、招标公告时间及程序符合规定、投标单位资格要求和采购需求等没</w:t>
      </w:r>
      <w:r>
        <w:rPr>
          <w:rFonts w:hint="eastAsia" w:ascii="宋体" w:hAnsi="宋体" w:eastAsia="宋体" w:cs="Times New Roman"/>
          <w:sz w:val="24"/>
          <w:szCs w:val="24"/>
        </w:rPr>
        <w:t xml:space="preserve">有倾</w:t>
      </w:r>
      <w:r>
        <w:rPr>
          <w:rFonts w:hint="eastAsia" w:ascii="宋体" w:hAnsi="宋体" w:eastAsia="宋体" w:cs="Times New Roman"/>
          <w:sz w:val="24"/>
          <w:szCs w:val="24"/>
        </w:rPr>
        <w:t xml:space="preserve">向性和限制性”书面意见的，并经财政部门批准同意后，可转为其他采购方式采购。</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十二、投标保证金：</w:t>
      </w:r>
      <w:r>
        <w:rPr>
          <w:rFonts w:hint="eastAsia" w:ascii="宋体" w:hAnsi="宋体" w:eastAsia="宋体" w:cs="Times New Roman"/>
          <w:bCs/>
          <w:sz w:val="24"/>
          <w:szCs w:val="24"/>
        </w:rPr>
        <w:t xml:space="preserve">本项目免收投标保证金。</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十三、中标无效的确认：</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投标单位有下列情形之一的，处以采购金额千分之五以上千</w:t>
      </w:r>
      <w:r>
        <w:rPr>
          <w:rFonts w:hint="eastAsia" w:ascii="宋体" w:hAnsi="宋体" w:eastAsia="宋体" w:cs="Times New Roman"/>
          <w:sz w:val="24"/>
          <w:szCs w:val="24"/>
        </w:rPr>
        <w:t xml:space="preserve">分之十</w:t>
      </w:r>
      <w:r>
        <w:rPr>
          <w:rFonts w:hint="eastAsia" w:ascii="宋体" w:hAnsi="宋体" w:eastAsia="宋体" w:cs="Times New Roman"/>
          <w:sz w:val="24"/>
          <w:szCs w:val="24"/>
        </w:rPr>
        <w:t xml:space="preserve">以下的罚款，列入不良行为记录名单，在一至三年内禁止参加政府采购活动，有违法所得的，并处没收违法所得，情节严重的，由工商行政管理机关吊销营业执照；构成犯罪的，依法追究刑事责任：</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（一）提供虚假材料谋取中标、成交的；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（二）采取不正当手段诋毁、排挤其他投标单位的；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（三）与采购人、其他投标单位或者采购代理机构恶意串通的；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（四）向采购人、采购代理机构行贿或者提供其他不正当利益的；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（五）在招标采购过程中与采购人进行协商谈判的；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（六）拒绝有关部门监督检查或者提供虚假情况的。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投标单位有前款第（一）至（五）项情形之一的，中标无效。</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十四、签订合同：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采购中心宣布中标结果，采购人应当自中标通知书发出之日起三十日内，按照招标文件和中标人投标文件的约定，与中标人签订书面合同。所签订的合同不得对招标文件和中标人投标文件作实质性修改。采购人不得向中标人提出任何不合理的要求，作为签订合</w:t>
      </w:r>
      <w:r>
        <w:rPr>
          <w:rFonts w:hint="eastAsia" w:ascii="宋体" w:hAnsi="宋体" w:eastAsia="宋体" w:cs="Times New Roman"/>
          <w:sz w:val="24"/>
          <w:szCs w:val="24"/>
        </w:rPr>
        <w:t xml:space="preserve">同的条件，不得与中标人私下订立背离合同实质性内容的协议。合同需在江阴市政府采购中心档案留存。</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2、签订合同时，中标方须向采购人提供1份与网上投标文件一致的纸质打印投标文件。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w:t>
      </w:r>
      <w:r>
        <w:rPr>
          <w:rFonts w:ascii="宋体" w:hAnsi="宋体" w:eastAsia="宋体" w:cs="Times New Roman"/>
          <w:sz w:val="24"/>
          <w:szCs w:val="24"/>
        </w:rPr>
        <w:t xml:space="preserve">、履约保证金的收取：合同签署</w:t>
      </w:r>
      <w:r>
        <w:rPr>
          <w:rFonts w:hint="eastAsia" w:ascii="宋体" w:hAnsi="宋体" w:eastAsia="宋体" w:cs="Times New Roman"/>
          <w:sz w:val="24"/>
          <w:szCs w:val="24"/>
        </w:rPr>
        <w:t xml:space="preserve">时</w:t>
      </w:r>
      <w:r>
        <w:rPr>
          <w:rFonts w:ascii="宋体" w:hAnsi="宋体" w:eastAsia="宋体" w:cs="Times New Roman"/>
          <w:sz w:val="24"/>
          <w:szCs w:val="24"/>
        </w:rPr>
        <w:t xml:space="preserve">，中标方向采购单位缴纳履约保证金。</w:t>
      </w:r>
      <w:r>
        <w:rPr>
          <w:rFonts w:hint="eastAsia" w:ascii="宋体" w:hAnsi="宋体" w:eastAsia="宋体" w:cs="Times New Roman"/>
          <w:bCs/>
          <w:sz w:val="24"/>
          <w:szCs w:val="24"/>
        </w:rPr>
        <w:t xml:space="preserve">中标方向采购单位缴纳的履约保证金不超过政府采购合同金额的10%收取履约保证金的，采购人应当允许</w:t>
      </w:r>
      <w:r>
        <w:rPr>
          <w:rFonts w:ascii="宋体" w:hAnsi="宋体" w:eastAsia="宋体" w:cs="Times New Roman"/>
          <w:bCs/>
          <w:sz w:val="24"/>
          <w:szCs w:val="24"/>
        </w:rPr>
        <w:t xml:space="preserve">供应商自主选择以支票、 汇票、 本票、 保函等非现金形式缴纳或提交，</w:t>
      </w:r>
      <w:r>
        <w:rPr>
          <w:rFonts w:hint="eastAsia" w:ascii="宋体" w:hAnsi="宋体" w:eastAsia="宋体" w:cs="Times New Roman"/>
          <w:bCs/>
          <w:sz w:val="24"/>
          <w:szCs w:val="24"/>
        </w:rPr>
        <w:t xml:space="preserve">并与中标供应商在采购合同中约定履约保证金退还的方式、时间、条件和不予退还的情形，明确逾期退还履约保证金的违约责任。</w:t>
      </w:r>
      <w:r>
        <w:rPr>
          <w:rFonts w:hint="eastAsia" w:ascii="宋体" w:hAnsi="宋体" w:eastAsia="宋体" w:cs="Times New Roman"/>
          <w:sz w:val="24"/>
          <w:szCs w:val="24"/>
        </w:rPr>
        <w:t xml:space="preserve">采购单位收到缴纳的履约保证金后需向中标单位出具有效的履约保证金收款凭证。</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w:t>
      </w:r>
      <w:r>
        <w:rPr>
          <w:rFonts w:ascii="宋体" w:hAnsi="宋体" w:eastAsia="宋体" w:cs="Times New Roman"/>
          <w:sz w:val="24"/>
          <w:szCs w:val="24"/>
        </w:rPr>
        <w:t xml:space="preserve">、履约保证金的管理及退还：采购单位应做好履约保证金的账务处理工作，实行专项管理，</w:t>
      </w:r>
      <w:r>
        <w:rPr>
          <w:rFonts w:hint="eastAsia" w:ascii="宋体" w:hAnsi="宋体" w:eastAsia="宋体" w:cs="Times New Roman"/>
          <w:sz w:val="24"/>
          <w:szCs w:val="24"/>
        </w:rPr>
        <w:t xml:space="preserve">不得违规收取、挪用、截留等</w:t>
      </w:r>
      <w:r>
        <w:rPr>
          <w:rFonts w:ascii="宋体" w:hAnsi="宋体" w:eastAsia="宋体" w:cs="Times New Roman"/>
          <w:sz w:val="24"/>
          <w:szCs w:val="24"/>
        </w:rPr>
        <w:t xml:space="preserve">其他用途。</w:t>
      </w:r>
      <w:r>
        <w:rPr>
          <w:rFonts w:hint="eastAsia" w:ascii="宋体" w:hAnsi="宋体" w:eastAsia="宋体" w:cs="Times New Roman"/>
          <w:sz w:val="24"/>
          <w:szCs w:val="24"/>
        </w:rPr>
        <w:t xml:space="preserve">采购单位按照采购合同约定及时退还履约保证金，不计利息。</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6、江阴市政府采购中心监督合同的履行，协调和处理履约过程中的问题，同时对售后</w:t>
      </w:r>
      <w:r>
        <w:rPr>
          <w:rFonts w:hint="eastAsia" w:ascii="宋体" w:hAnsi="宋体" w:eastAsia="宋体" w:cs="Times New Roman"/>
          <w:bCs/>
          <w:sz w:val="24"/>
          <w:szCs w:val="24"/>
        </w:rPr>
        <w:t xml:space="preserve">服务进行评</w:t>
      </w:r>
      <w:r>
        <w:rPr>
          <w:rFonts w:hint="eastAsia" w:ascii="宋体" w:hAnsi="宋体" w:eastAsia="宋体" w:cs="Times New Roman"/>
          <w:sz w:val="24"/>
          <w:szCs w:val="24"/>
        </w:rPr>
        <w:t xml:space="preserve">价。中标方未履行招标文件、投标文件和合同规定的义务，政府采购中心将根据具体情况提请政府采购管理部门</w:t>
      </w:r>
      <w:r>
        <w:rPr>
          <w:rFonts w:hint="eastAsia" w:ascii="宋体" w:hAnsi="宋体" w:eastAsia="宋体" w:cs="Times New Roman"/>
          <w:sz w:val="24"/>
          <w:szCs w:val="24"/>
        </w:rPr>
        <w:t xml:space="preserve">作出</w:t>
      </w:r>
      <w:r>
        <w:rPr>
          <w:rFonts w:hint="eastAsia" w:ascii="宋体" w:hAnsi="宋体" w:eastAsia="宋体" w:cs="Times New Roman"/>
          <w:sz w:val="24"/>
          <w:szCs w:val="24"/>
        </w:rPr>
        <w:t xml:space="preserve">相应处理。不可抗力除外。</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十五、付款方式：</w:t>
      </w:r>
      <w:r>
        <w:rPr>
          <w:rFonts w:hint="eastAsia" w:ascii="宋体" w:hAnsi="宋体" w:eastAsia="宋体" w:cs="Times New Roman"/>
          <w:sz w:val="24"/>
          <w:szCs w:val="24"/>
        </w:rPr>
        <w:t xml:space="preserve">详见项目要求。</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十六、政策功能：</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lang w:val="zh-CN"/>
        </w:rPr>
        <w:t xml:space="preserve">1、根据</w:t>
      </w:r>
      <w:r>
        <w:rPr>
          <w:rFonts w:hint="eastAsia" w:ascii="宋体" w:hAnsi="宋体" w:eastAsia="宋体" w:cs="Times New Roman"/>
          <w:sz w:val="24"/>
          <w:szCs w:val="24"/>
          <w:lang w:val="zh-CN"/>
        </w:rPr>
        <w:t xml:space="preserve">《</w:t>
      </w:r>
      <w:r>
        <w:rPr>
          <w:rFonts w:hint="eastAsia" w:ascii="宋体" w:hAnsi="宋体" w:eastAsia="宋体" w:cs="Times New Roman"/>
          <w:sz w:val="24"/>
          <w:szCs w:val="24"/>
          <w:lang w:val="zh-CN"/>
        </w:rPr>
        <w:t xml:space="preserve">财政部、工业和信息化部关于印发</w:t>
      </w:r>
      <w:r>
        <w:rPr>
          <w:rFonts w:hint="eastAsia" w:ascii="宋体" w:hAnsi="宋体" w:eastAsia="宋体" w:cs="Times New Roman"/>
          <w:sz w:val="24"/>
          <w:szCs w:val="24"/>
          <w:lang w:val="zh-CN"/>
        </w:rPr>
        <w:t xml:space="preserve">《</w:t>
      </w:r>
      <w:r>
        <w:rPr>
          <w:rFonts w:hint="eastAsia" w:ascii="宋体" w:hAnsi="宋体" w:eastAsia="宋体" w:cs="Times New Roman"/>
          <w:sz w:val="24"/>
          <w:szCs w:val="24"/>
          <w:lang w:val="zh-CN"/>
        </w:rPr>
        <w:t xml:space="preserve">政府采购促进中小企业发展管理办法</w:t>
      </w:r>
      <w:r>
        <w:rPr>
          <w:rFonts w:hint="eastAsia" w:ascii="宋体" w:hAnsi="宋体" w:eastAsia="宋体" w:cs="Times New Roman"/>
          <w:sz w:val="24"/>
          <w:szCs w:val="24"/>
          <w:lang w:val="zh-CN"/>
        </w:rPr>
        <w:t xml:space="preserve">》</w:t>
      </w:r>
      <w:r>
        <w:rPr>
          <w:rFonts w:hint="eastAsia" w:ascii="宋体" w:hAnsi="宋体" w:eastAsia="宋体" w:cs="Times New Roman"/>
          <w:sz w:val="24"/>
          <w:szCs w:val="24"/>
          <w:lang w:val="zh-CN"/>
        </w:rPr>
        <w:t xml:space="preserve">的通知</w:t>
      </w:r>
      <w:r>
        <w:rPr>
          <w:rFonts w:hint="eastAsia" w:ascii="宋体" w:hAnsi="宋体" w:eastAsia="宋体" w:cs="Times New Roman"/>
          <w:sz w:val="24"/>
          <w:szCs w:val="24"/>
          <w:lang w:val="zh-CN"/>
        </w:rPr>
        <w:t xml:space="preserve">》</w:t>
      </w:r>
      <w:r>
        <w:rPr>
          <w:rFonts w:hint="eastAsia" w:ascii="宋体" w:hAnsi="宋体" w:eastAsia="宋体" w:cs="Times New Roman"/>
          <w:sz w:val="24"/>
          <w:szCs w:val="24"/>
          <w:lang w:val="zh-CN"/>
        </w:rPr>
        <w:t xml:space="preserve">（财库</w:t>
      </w:r>
      <w:r>
        <w:rPr>
          <w:rFonts w:hint="eastAsia" w:ascii="宋体" w:hAnsi="宋体" w:eastAsia="宋体" w:cs="Times New Roman"/>
          <w:sz w:val="24"/>
          <w:szCs w:val="24"/>
        </w:rPr>
        <w:t xml:space="preserve">[2020]</w:t>
      </w:r>
      <w:r>
        <w:rPr>
          <w:rFonts w:hint="eastAsia" w:ascii="宋体" w:hAnsi="宋体" w:eastAsia="宋体" w:cs="Times New Roman"/>
          <w:sz w:val="24"/>
          <w:szCs w:val="24"/>
          <w:lang w:val="zh-CN"/>
        </w:rPr>
        <w:t xml:space="preserve">46号）的规定，符合《政府采购促进中小企业发展管理办法》第四条所述情形的小型、微型企业参加本项目</w:t>
      </w:r>
      <w:r>
        <w:rPr>
          <w:rFonts w:hint="eastAsia" w:ascii="宋体" w:hAnsi="宋体" w:eastAsia="宋体" w:cs="Times New Roman"/>
          <w:sz w:val="24"/>
          <w:szCs w:val="24"/>
        </w:rPr>
        <w:t xml:space="preserve">，给予20%的价格扣除，用扣除后的价格参与评审。参加投标的</w:t>
      </w:r>
      <w:r>
        <w:rPr>
          <w:rFonts w:hint="eastAsia" w:ascii="宋体" w:hAnsi="宋体" w:eastAsia="宋体" w:cs="Times New Roman"/>
          <w:sz w:val="24"/>
          <w:szCs w:val="24"/>
          <w:lang w:val="zh-CN"/>
        </w:rPr>
        <w:t xml:space="preserve">小型、微型企业</w:t>
      </w:r>
      <w:r>
        <w:rPr>
          <w:rFonts w:hint="eastAsia" w:ascii="宋体" w:hAnsi="宋体" w:eastAsia="宋体" w:cs="Times New Roman"/>
          <w:sz w:val="24"/>
          <w:szCs w:val="24"/>
        </w:rPr>
        <w:t xml:space="preserve">，应当出具</w:t>
      </w:r>
      <w:r>
        <w:rPr>
          <w:rFonts w:hint="eastAsia" w:ascii="宋体" w:hAnsi="宋体" w:eastAsia="宋体" w:cs="Times New Roman"/>
          <w:sz w:val="24"/>
          <w:szCs w:val="24"/>
          <w:lang w:val="zh-CN"/>
        </w:rPr>
        <w:t xml:space="preserve">《政府采购促进中小企业发展管理办法》规定的</w:t>
      </w:r>
      <w:r>
        <w:rPr>
          <w:rFonts w:hint="eastAsia" w:ascii="宋体" w:hAnsi="宋体" w:eastAsia="宋体" w:cs="Times New Roman"/>
          <w:sz w:val="24"/>
          <w:szCs w:val="24"/>
        </w:rPr>
        <w:t xml:space="preserve">《中小企业声明函》（格式见后）（“中小企业划型标准”详见《关于印发中小企业划型标准规定的通知》工信部联企业〔2011〕300号及《国家统计局关于印发统计上大中小微型企业划分办法（2017）的通知》国统字〔2017〕213号）。</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2、监狱企业视同小型、微型企业，给予20%的价格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残疾人福利性单位视同小型、微型企业，给予20%的价格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4、同一投标人，上述三项价格扣除优惠不得重复享受。</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接受大中型企业与小微企业（残疾人福利单位、监狱企业）组成联合体或者允许大中型企业向一家或者多家小微企业（残疾人福利单位、监狱企业）分包的采购项目，对于联合协议或者分包意向协议约定小微企业（残疾人福利单位、监狱企业）的合同份额占到合同总金额30%以上的，可给予联合体或者大中型企业4%的价格扣除，用扣除后的价格参与评审。</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6、中标供应</w:t>
      </w:r>
      <w:r>
        <w:rPr>
          <w:rFonts w:hint="eastAsia" w:ascii="宋体" w:hAnsi="宋体" w:eastAsia="宋体" w:cs="Times New Roman"/>
          <w:sz w:val="24"/>
          <w:szCs w:val="24"/>
        </w:rPr>
        <w:t xml:space="preserve">商享受</w:t>
      </w:r>
      <w:r>
        <w:rPr>
          <w:rFonts w:hint="eastAsia" w:ascii="宋体" w:hAnsi="宋体" w:eastAsia="宋体" w:cs="Times New Roman"/>
          <w:sz w:val="24"/>
          <w:szCs w:val="24"/>
        </w:rPr>
        <w:t xml:space="preserve">中小企业扶持政策的，江阴市政府采购中心将随中标结果公开中标供应商的《中小企业声明函》。</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7、供应商提供声明</w:t>
      </w:r>
      <w:r>
        <w:rPr>
          <w:rFonts w:hint="eastAsia" w:ascii="宋体" w:hAnsi="宋体" w:eastAsia="宋体" w:cs="Times New Roman"/>
          <w:sz w:val="24"/>
          <w:szCs w:val="24"/>
        </w:rPr>
        <w:t xml:space="preserve">函内容</w:t>
      </w:r>
      <w:r>
        <w:rPr>
          <w:rFonts w:hint="eastAsia" w:ascii="宋体" w:hAnsi="宋体" w:eastAsia="宋体" w:cs="Times New Roman"/>
          <w:sz w:val="24"/>
          <w:szCs w:val="24"/>
        </w:rPr>
        <w:t xml:space="preserve">不实的，属于提供虚假材料谋取中标，依照《中华人民共和国政府采购法》等国家有关规定追究相应责任。</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8、对节能产品、环境标志产品实施政府优先采购和强制采购。若提供的产品属于财政部、发展改革委所制定的《节能产品政府采购品目清单》以及财政部、生态环境部所制定的《环境标志产品政府采购品目清单》，投标单位应当提供国家确定的认证机构出具的、处于有效期之内的节能产品、环境标志产品认证证书。</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9、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10、本项目中如有涉及数据库、操作系统、通用服务器、工作站、</w:t>
      </w:r>
      <w:r>
        <w:rPr>
          <w:rFonts w:hint="eastAsia" w:ascii="宋体" w:hAnsi="宋体" w:eastAsia="宋体" w:cs="Times New Roman"/>
          <w:sz w:val="24"/>
          <w:szCs w:val="24"/>
        </w:rPr>
        <w:t xml:space="preserve">一</w:t>
      </w:r>
      <w:r>
        <w:rPr>
          <w:rFonts w:hint="eastAsia" w:ascii="宋体" w:hAnsi="宋体" w:eastAsia="宋体" w:cs="Times New Roman"/>
          <w:sz w:val="24"/>
          <w:szCs w:val="24"/>
        </w:rPr>
        <w:t xml:space="preserve">体式计算机、便携式计算机、台式计算机等七种软硬件的，供应商不得违反财政部、工信部共同发布数据库、操作系统、通用服务器、工作站、</w:t>
      </w:r>
      <w:r>
        <w:rPr>
          <w:rFonts w:hint="eastAsia" w:ascii="宋体" w:hAnsi="宋体" w:eastAsia="宋体" w:cs="Times New Roman"/>
          <w:sz w:val="24"/>
          <w:szCs w:val="24"/>
        </w:rPr>
        <w:t xml:space="preserve">一</w:t>
      </w:r>
      <w:r>
        <w:rPr>
          <w:rFonts w:hint="eastAsia" w:ascii="宋体" w:hAnsi="宋体" w:eastAsia="宋体" w:cs="Times New Roman"/>
          <w:sz w:val="24"/>
          <w:szCs w:val="24"/>
        </w:rPr>
        <w:t xml:space="preserve">体式计算机、便携式计算机、台式计算机等七种软硬件的需求标准。《需求标准》详见财库〔2023〕29号、30号、31号、32号、33号、34号、35号。在满足《需求标准》的前提下，如招标（采购）文件中有其他要求的，供应商应满足招标（采购）文件要求。采购人可在合同中约定，在履约验收管理时，可对所提供的七种软硬件进行验收，必要时可以委托依法取得检测、认证资质的机构进行检测、认证。</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11、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spacing w:line="400" w:lineRule="exact"/>
        <w:rPr>
          <w:rFonts w:ascii="黑体" w:hAnsi="宋体" w:eastAsia="黑体" w:cs="Times New Roman"/>
          <w:sz w:val="28"/>
          <w:szCs w:val="28"/>
        </w:rPr>
      </w:pPr>
      <w:r>
        <w:rPr>
          <w:rFonts w:hint="eastAsia" w:ascii="黑体" w:hAnsi="宋体" w:eastAsia="黑体" w:cs="Times New Roman"/>
          <w:sz w:val="28"/>
          <w:szCs w:val="28"/>
        </w:rPr>
        <w:t xml:space="preserve">十七、履约保函政策：</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政府采购履约保函（保险）是指在政府采购活动中第三方机构向采购人提供的保证政</w:t>
      </w:r>
      <w:r>
        <w:rPr>
          <w:rFonts w:hint="eastAsia" w:ascii="宋体" w:hAnsi="宋体" w:eastAsia="宋体" w:cs="Times New Roman"/>
          <w:sz w:val="24"/>
          <w:szCs w:val="24"/>
        </w:rPr>
        <w:t xml:space="preserve">府采购中标、成交供应</w:t>
      </w:r>
      <w:r>
        <w:rPr>
          <w:rFonts w:hint="eastAsia" w:ascii="宋体" w:hAnsi="宋体" w:eastAsia="宋体" w:cs="Times New Roman"/>
          <w:sz w:val="24"/>
          <w:szCs w:val="24"/>
        </w:rPr>
        <w:t xml:space="preserve">商履行</w:t>
      </w:r>
      <w:r>
        <w:rPr>
          <w:rFonts w:hint="eastAsia" w:ascii="宋体" w:hAnsi="宋体" w:eastAsia="宋体" w:cs="Times New Roman"/>
          <w:sz w:val="24"/>
          <w:szCs w:val="24"/>
        </w:rPr>
        <w:t xml:space="preserve">合同义务的担保或保险。如中标、成交供应</w:t>
      </w:r>
      <w:r>
        <w:rPr>
          <w:rFonts w:hint="eastAsia" w:ascii="宋体" w:hAnsi="宋体" w:eastAsia="宋体" w:cs="Times New Roman"/>
          <w:sz w:val="24"/>
          <w:szCs w:val="24"/>
        </w:rPr>
        <w:t xml:space="preserve">商未能</w:t>
      </w:r>
      <w:r>
        <w:rPr>
          <w:rFonts w:hint="eastAsia" w:ascii="宋体" w:hAnsi="宋体" w:eastAsia="宋体" w:cs="Times New Roman"/>
          <w:sz w:val="24"/>
          <w:szCs w:val="24"/>
        </w:rPr>
        <w:t xml:space="preserve">按照政府采购合同要求规范履行合同义务，由第三方机构按照采购文件约定的履约保证金数额对采购人承担赔偿责任。根据《江苏省财政厅国家金融监管总局江苏监管局江苏省地方金融监督管理局关于在全省政府采购领域推行电子履约保函(保险)的通知》要求，鼓励供应商以履约保函(保险)的形式代替提供履约保证金。</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电子履约保函（保险）办理业务流程：江苏省 “政府采购电子履约保函（保险）平台”可通过江苏省政府采购网、“苏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jc w:val="left"/>
        <w:spacing w:line="400" w:lineRule="exact"/>
        <w:rPr>
          <w:rFonts w:ascii="宋体" w:hAnsi="宋体" w:eastAsia="宋体" w:cs="Times New Roman"/>
          <w:szCs w:val="24"/>
        </w:rPr>
      </w:pPr>
      <w:r>
        <w:rPr>
          <w:rFonts w:hint="eastAsia" w:ascii="黑体" w:hAnsi="宋体" w:eastAsia="黑体" w:cs="Times New Roman"/>
          <w:sz w:val="28"/>
          <w:szCs w:val="28"/>
        </w:rPr>
        <w:t xml:space="preserve">十八、政府采购合同融资：</w:t>
      </w:r>
      <w:r/>
    </w:p>
    <w:p>
      <w:pPr>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根据国家扶持中小企业的有关政策，在我中心组织的采购项目中标、成交的供应商可根据自身情况，自行决定是否选择采用合同融资形式，如需要政府采购合同融资，请</w:t>
      </w:r>
      <w:r>
        <w:rPr>
          <w:rFonts w:ascii="宋体" w:hAnsi="宋体" w:eastAsia="宋体" w:cs="Times New Roman"/>
          <w:sz w:val="24"/>
          <w:szCs w:val="24"/>
        </w:rPr>
        <w:t xml:space="preserve">按锡财购</w:t>
      </w:r>
      <w:r>
        <w:rPr>
          <w:rFonts w:ascii="宋体" w:hAnsi="宋体" w:eastAsia="宋体" w:cs="Times New Roman"/>
          <w:sz w:val="24"/>
          <w:szCs w:val="24"/>
        </w:rPr>
        <w:t xml:space="preserve">【2020】17号文件执行。</w:t>
      </w:r>
      <w:r/>
    </w:p>
    <w:p>
      <w:pPr>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江阴市公共资源交易中心金融服务支撑平台凭政府采购中标、成交通知书或政府采购合同在线提出融资申请，自主选择金融机构及其融资产品，金融机构进行融资信息审查决定是否为其提供融资，</w:t>
      </w:r>
      <w:r>
        <w:rPr>
          <w:rFonts w:ascii="宋体" w:hAnsi="宋体" w:eastAsia="宋体" w:cs="Times New Roman"/>
          <w:sz w:val="24"/>
          <w:szCs w:val="24"/>
        </w:rPr>
        <w:t xml:space="preserve">做好预授信</w:t>
      </w:r>
      <w:r>
        <w:rPr>
          <w:rFonts w:ascii="宋体" w:hAnsi="宋体" w:eastAsia="宋体" w:cs="Times New Roman"/>
          <w:sz w:val="24"/>
          <w:szCs w:val="24"/>
        </w:rPr>
        <w:t xml:space="preserve">。双方达成融资意向后签订融资协议，确定融资成交信息并约定融资回款账户。</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十九、质量及验收：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项目完毕后，中标方书面通知采购人验收，采购人依据为国家有关规定、招标文件、中标方的投标文件以及其他相关文件和资料，根据实际按照《江苏省政府采购履约验收管理办法》（苏财</w:t>
      </w:r>
      <w:r>
        <w:rPr>
          <w:rFonts w:hint="eastAsia" w:ascii="宋体" w:hAnsi="宋体" w:eastAsia="宋体" w:cs="Times New Roman"/>
          <w:sz w:val="24"/>
          <w:szCs w:val="24"/>
        </w:rPr>
        <w:t xml:space="preserve">规</w:t>
      </w:r>
      <w:r>
        <w:rPr>
          <w:rFonts w:hint="eastAsia" w:ascii="宋体" w:hAnsi="宋体" w:eastAsia="宋体" w:cs="Times New Roman"/>
          <w:sz w:val="24"/>
          <w:szCs w:val="24"/>
        </w:rPr>
        <w:t xml:space="preserve">〔2024〕7号）组织验收。对项目验收发生的检测（检验）费、劳务报酬等费用支出，采购合同有约定的按照约定执行；无约定的，由采购人承担。因供应商问题导致重新组织项目验收的，由供应商负担验收费用。</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二十、中标服务费：</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本次采购，江阴市政府采购中心为中标单位提供免费服务。 </w:t>
      </w:r>
      <w:r/>
    </w:p>
    <w:p>
      <w:pPr>
        <w:pStyle w:val="873"/>
        <w:sectPr>
          <w:footnotePr/>
          <w:endnotePr/>
          <w:type w:val="nextPage"/>
          <w:pgSz w:w="11906" w:h="16838" w:orient="portrait"/>
          <w:pgMar w:top="1247" w:right="1247" w:bottom="1247" w:left="1247" w:header="680" w:footer="992" w:gutter="0"/>
          <w:cols w:num="1" w:sep="0" w:space="720" w:equalWidth="1"/>
          <w:docGrid w:linePitch="360"/>
        </w:sectPr>
      </w:pPr>
      <w:r/>
      <w:r/>
    </w:p>
    <w:p>
      <w:pPr>
        <w:pStyle w:val="873"/>
        <w:outlineLvl w:val="9"/>
      </w:pPr>
      <w:r/>
      <w:r/>
    </w:p>
    <w:p>
      <w:pPr>
        <w:pStyle w:val="873"/>
        <w:rPr>
          <w:rFonts w:ascii="楷体_GB2312" w:hAnsi="Times New Roman" w:eastAsia="楷体_GB2312"/>
          <w:b/>
          <w:sz w:val="28"/>
          <w:szCs w:val="28"/>
        </w:rPr>
      </w:pPr>
      <w:r/>
      <w:bookmarkStart w:id="11" w:name="_Toc13413"/>
      <w:r>
        <w:rPr>
          <w:rFonts w:hint="eastAsia"/>
        </w:rPr>
        <w:t xml:space="preserve">第三章　项目要求和有关说明</w:t>
      </w:r>
      <w:bookmarkEnd w:id="11"/>
      <w:r/>
      <w:r/>
    </w:p>
    <w:p>
      <w:pPr>
        <w:ind w:firstLine="482"/>
        <w:jc w:val="center"/>
        <w:spacing w:line="400" w:lineRule="exact"/>
        <w:widowControl/>
        <w:rPr>
          <w:rFonts w:ascii="宋体" w:hAnsi="宋体" w:eastAsia="宋体" w:cs="宋体"/>
          <w:b/>
          <w:bCs/>
          <w:sz w:val="24"/>
          <w:szCs w:val="24"/>
        </w:rPr>
      </w:pPr>
      <w:r/>
      <w:bookmarkStart w:id="12" w:name="_Toc251268361"/>
      <w:r>
        <w:rPr>
          <w:rFonts w:hint="eastAsia" w:ascii="宋体" w:hAnsi="宋体" w:eastAsia="宋体" w:cs="宋体"/>
          <w:b/>
          <w:bCs/>
          <w:sz w:val="24"/>
          <w:szCs w:val="24"/>
        </w:rPr>
        <w:t xml:space="preserve">（以下除“四、系统功能模块要求”外，其余均为实质性要求）</w:t>
      </w:r>
      <w:r/>
    </w:p>
    <w:p>
      <w:pPr>
        <w:ind w:firstLine="482"/>
        <w:jc w:val="center"/>
        <w:spacing w:line="400" w:lineRule="exact"/>
        <w:widowControl/>
        <w:rPr>
          <w:rFonts w:ascii="宋体" w:hAnsi="宋体" w:eastAsia="宋体" w:cs="宋体"/>
          <w:b/>
          <w:sz w:val="24"/>
        </w:rPr>
      </w:pPr>
      <w:r>
        <w:rPr>
          <w:rFonts w:ascii="宋体" w:hAnsi="宋体" w:eastAsia="宋体" w:cs="宋体"/>
          <w:b/>
          <w:sz w:val="24"/>
        </w:rPr>
      </w:r>
      <w:r/>
    </w:p>
    <w:p>
      <w:pPr>
        <w:jc w:val="left"/>
        <w:spacing w:line="400" w:lineRule="exact"/>
        <w:widowControl/>
        <w:rPr>
          <w:rFonts w:ascii="黑体" w:hAnsi="黑体" w:eastAsia="黑体" w:cs="宋体"/>
          <w:sz w:val="28"/>
          <w:szCs w:val="28"/>
        </w:rPr>
        <w:outlineLvl w:val="1"/>
      </w:pPr>
      <w:r>
        <w:rPr>
          <w:rFonts w:hint="eastAsia" w:ascii="黑体" w:hAnsi="黑体" w:eastAsia="黑体" w:cs="宋体"/>
          <w:sz w:val="28"/>
          <w:szCs w:val="28"/>
        </w:rPr>
        <w:t xml:space="preserve">一、项目概述：</w:t>
      </w:r>
      <w:r/>
    </w:p>
    <w:p>
      <w:pPr>
        <w:ind w:firstLine="480"/>
        <w:spacing w:line="400" w:lineRule="exact"/>
        <w:rPr>
          <w:rFonts w:ascii="楷体_GB2312" w:hAnsi="Times New Roman" w:eastAsia="楷体_GB2312" w:cs="Times New Roman"/>
          <w:bCs/>
          <w:sz w:val="28"/>
          <w:szCs w:val="24"/>
        </w:rPr>
      </w:pPr>
      <w:r>
        <w:rPr>
          <w:rFonts w:hint="eastAsia" w:ascii="宋体" w:hAnsi="宋体" w:eastAsia="宋体" w:cs="宋体"/>
          <w:bCs/>
          <w:sz w:val="24"/>
          <w:szCs w:val="24"/>
        </w:rPr>
        <w:t xml:space="preserve">本项目是在江阴市第三人民医院现有信息系统的基础上进行产品升级，通过本次项目建设，医院应当能够提升院内信息化水平，并能够满足江阴市中医院医疗集团的紧密型</w:t>
      </w:r>
      <w:r>
        <w:rPr>
          <w:rFonts w:hint="eastAsia" w:ascii="宋体" w:hAnsi="宋体" w:eastAsia="宋体" w:cs="宋体"/>
          <w:bCs/>
          <w:sz w:val="24"/>
          <w:szCs w:val="24"/>
        </w:rPr>
        <w:t xml:space="preserve">医</w:t>
      </w:r>
      <w:r>
        <w:rPr>
          <w:rFonts w:hint="eastAsia" w:ascii="宋体" w:hAnsi="宋体" w:eastAsia="宋体" w:cs="宋体"/>
          <w:bCs/>
          <w:sz w:val="24"/>
          <w:szCs w:val="24"/>
        </w:rPr>
        <w:t xml:space="preserve">联体管理要求，在数据标准、业务流程等方面与医疗集团实现统一，并实现与医疗集团内其他机构的信息互联互通，满足医疗集团同质化管理要求，最终实现医疗集团内各机构相关服务的标准化和一致化，提升各机构的业务协同，更高效利用医疗资源，提升医疗服务质量和效率。同时实现医疗集团内各机构相关管理的标准化和一致化，提高医院管理效率和透明度，提升集团整体医疗质量和安全。</w:t>
      </w:r>
      <w:r/>
    </w:p>
    <w:p>
      <w:pPr>
        <w:ind w:firstLine="480"/>
        <w:spacing w:line="400" w:lineRule="exact"/>
        <w:rPr>
          <w:rFonts w:ascii="宋体" w:hAnsi="宋体" w:eastAsia="宋体" w:cs="宋体"/>
          <w:sz w:val="24"/>
        </w:rPr>
      </w:pPr>
      <w:r>
        <w:rPr>
          <w:rFonts w:hint="eastAsia" w:ascii="宋体" w:hAnsi="宋体" w:eastAsia="宋体" w:cs="宋体"/>
          <w:sz w:val="24"/>
        </w:rPr>
        <w:t xml:space="preserve">本项目最高限价：144.8万元</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本项目标的所属行业：软件和信息技术服务业。</w:t>
      </w:r>
      <w:r/>
    </w:p>
    <w:p>
      <w:pPr>
        <w:ind w:firstLine="482"/>
        <w:spacing w:line="400" w:lineRule="exact"/>
        <w:rPr>
          <w:rFonts w:ascii="宋体" w:hAnsi="宋体" w:eastAsia="宋体" w:cs="Times New Roman"/>
          <w:b/>
          <w:sz w:val="24"/>
          <w:szCs w:val="24"/>
        </w:rPr>
      </w:pPr>
      <w:r>
        <w:rPr>
          <w:rFonts w:ascii="宋体" w:hAnsi="宋体" w:eastAsia="宋体" w:cs="Times New Roman"/>
          <w:b/>
          <w:sz w:val="24"/>
          <w:szCs w:val="24"/>
        </w:rPr>
      </w:r>
      <w:r/>
    </w:p>
    <w:p>
      <w:pPr>
        <w:jc w:val="left"/>
        <w:spacing w:line="400" w:lineRule="exact"/>
        <w:widowControl/>
        <w:rPr>
          <w:rFonts w:ascii="黑体" w:hAnsi="黑体" w:eastAsia="黑体" w:cs="宋体"/>
          <w:sz w:val="28"/>
          <w:szCs w:val="28"/>
        </w:rPr>
        <w:outlineLvl w:val="1"/>
      </w:pPr>
      <w:r>
        <w:rPr>
          <w:rFonts w:hint="eastAsia" w:ascii="黑体" w:hAnsi="黑体" w:eastAsia="黑体" w:cs="宋体"/>
          <w:sz w:val="28"/>
          <w:szCs w:val="28"/>
        </w:rPr>
        <w:t xml:space="preserve">二、项目基本要求：</w:t>
      </w:r>
      <w:r/>
    </w:p>
    <w:p>
      <w:pPr>
        <w:ind w:firstLine="482"/>
        <w:spacing w:line="400" w:lineRule="exact"/>
        <w:rPr>
          <w:rFonts w:ascii="宋体" w:hAnsi="宋体" w:eastAsia="宋体" w:cs="宋体"/>
          <w:b/>
          <w:sz w:val="24"/>
        </w:rPr>
      </w:pPr>
      <w:r>
        <w:rPr>
          <w:rFonts w:hint="eastAsia" w:ascii="宋体" w:hAnsi="宋体" w:eastAsia="宋体" w:cs="宋体"/>
          <w:b/>
          <w:sz w:val="24"/>
        </w:rPr>
        <w:t xml:space="preserve">2.1、总体要求</w:t>
      </w:r>
      <w:r/>
    </w:p>
    <w:p>
      <w:pPr>
        <w:ind w:firstLine="482"/>
        <w:spacing w:line="400" w:lineRule="exact"/>
        <w:rPr>
          <w:rFonts w:ascii="宋体" w:hAnsi="宋体" w:eastAsia="宋体" w:cs="宋体"/>
          <w:sz w:val="24"/>
        </w:rPr>
      </w:pPr>
      <w:r>
        <w:rPr>
          <w:rFonts w:hint="eastAsia" w:ascii="宋体" w:hAnsi="宋体" w:eastAsia="宋体" w:cs="宋体"/>
          <w:sz w:val="24"/>
        </w:rPr>
        <w:t xml:space="preserve">投标人应充分理解本次项目的建设内容与目标，做好现状与需求分析，提出合理的总体技术设计方案，并对项目过程中的重难点做出分析，提出应对措施并阐述自身优势。</w:t>
      </w:r>
      <w:r/>
    </w:p>
    <w:p>
      <w:pPr>
        <w:ind w:firstLine="482"/>
        <w:spacing w:line="400" w:lineRule="exact"/>
        <w:rPr>
          <w:rFonts w:ascii="宋体" w:hAnsi="宋体" w:eastAsia="宋体" w:cs="宋体"/>
          <w:sz w:val="24"/>
        </w:rPr>
      </w:pPr>
      <w:r>
        <w:rPr>
          <w:rFonts w:hint="eastAsia" w:ascii="宋体" w:hAnsi="宋体" w:eastAsia="宋体" w:cs="宋体"/>
          <w:sz w:val="24"/>
        </w:rPr>
        <w:t xml:space="preserve">本次项目系统建设需依照《电子病历基本架构与数据标准》等国家卫生主管部门相关的医疗卫生信息化建设文件与标准规范要求，助力采购人达成电子病历四级等级评审，且具备标准制定能力。能按采购人要求，对医院现有标准予以梳理，并依医疗集团需求进行电子病历数据标准的统一扩展。</w:t>
      </w:r>
      <w:r/>
    </w:p>
    <w:p>
      <w:pPr>
        <w:ind w:firstLine="482"/>
        <w:spacing w:line="400" w:lineRule="exact"/>
        <w:rPr>
          <w:rFonts w:ascii="宋体" w:hAnsi="宋体" w:eastAsia="宋体" w:cs="宋体"/>
          <w:sz w:val="24"/>
        </w:rPr>
      </w:pPr>
      <w:r>
        <w:rPr>
          <w:rFonts w:hint="eastAsia" w:ascii="宋体" w:hAnsi="宋体" w:eastAsia="宋体" w:cs="宋体"/>
          <w:sz w:val="24"/>
        </w:rPr>
        <w:t xml:space="preserve">系统架构应提供灵活的用户管理模型与机构组织模型，能够根据医疗集团的要求快速建立不同类型的管理结构。</w:t>
      </w:r>
      <w:r/>
    </w:p>
    <w:p>
      <w:pPr>
        <w:ind w:firstLine="482"/>
        <w:spacing w:line="400" w:lineRule="exact"/>
        <w:rPr>
          <w:rFonts w:ascii="宋体" w:hAnsi="宋体" w:eastAsia="宋体" w:cs="宋体"/>
          <w:sz w:val="24"/>
        </w:rPr>
      </w:pPr>
      <w:r>
        <w:rPr>
          <w:rFonts w:hint="eastAsia" w:ascii="宋体" w:hAnsi="宋体" w:eastAsia="宋体" w:cs="宋体"/>
          <w:sz w:val="24"/>
        </w:rPr>
        <w:t xml:space="preserve">系统应支持单点登录，用户只需要登录一次就可以访问所有相互信任的应用系统。</w:t>
      </w:r>
      <w:r/>
    </w:p>
    <w:p>
      <w:pPr>
        <w:ind w:firstLine="482"/>
        <w:spacing w:line="400" w:lineRule="exact"/>
        <w:rPr>
          <w:rFonts w:ascii="宋体" w:hAnsi="宋体" w:eastAsia="宋体" w:cs="宋体"/>
          <w:sz w:val="24"/>
        </w:rPr>
      </w:pPr>
      <w:r>
        <w:rPr>
          <w:rFonts w:hint="eastAsia" w:ascii="宋体" w:hAnsi="宋体" w:eastAsia="宋体" w:cs="宋体"/>
          <w:sz w:val="24"/>
        </w:rPr>
        <w:t xml:space="preserve">系统架构在设计之初就必须考虑到与其他各类系统的无缝接口连接需求，确保能够通过标准化的接口协议和高效的数据传输机制，实现与外部系统的顺畅</w:t>
      </w:r>
      <w:r>
        <w:rPr>
          <w:rFonts w:hint="eastAsia" w:ascii="宋体" w:hAnsi="宋体" w:eastAsia="宋体" w:cs="宋体"/>
          <w:sz w:val="24"/>
        </w:rPr>
        <w:t xml:space="preserve">交互和</w:t>
      </w:r>
      <w:r>
        <w:rPr>
          <w:rFonts w:hint="eastAsia" w:ascii="宋体" w:hAnsi="宋体" w:eastAsia="宋体" w:cs="宋体"/>
          <w:sz w:val="24"/>
        </w:rPr>
        <w:t xml:space="preserve">信息共享，从而提升整体系统的协同工作能力和数据整合效率。</w:t>
      </w:r>
      <w:r/>
    </w:p>
    <w:p>
      <w:pPr>
        <w:ind w:firstLine="482"/>
        <w:spacing w:line="400" w:lineRule="exact"/>
        <w:rPr>
          <w:rFonts w:ascii="宋体" w:hAnsi="宋体" w:eastAsia="宋体" w:cs="宋体"/>
          <w:sz w:val="24"/>
        </w:rPr>
      </w:pPr>
      <w:r>
        <w:rPr>
          <w:rFonts w:hint="eastAsia" w:ascii="宋体" w:hAnsi="宋体" w:eastAsia="宋体" w:cs="宋体"/>
          <w:sz w:val="24"/>
        </w:rPr>
        <w:t xml:space="preserve">考虑到医疗集团的数据统一管理需求，本次项目改造升级过程中，投标人须做好历史数据的梳理和继承工作，确保历史数据能够被充分利用。同时投标人须承诺原系统在被替换之前能够继续稳定运行，如新升级系统出现意外故障，投标人须承诺能够将系统回退至旧版本并正常使用，不影响医院日常业务的开展，直到新升级系统重新上线稳定运行。</w:t>
      </w:r>
      <w:r>
        <w:rPr>
          <w:rFonts w:hint="eastAsia" w:ascii="宋体" w:hAnsi="宋体" w:eastAsia="宋体" w:cs="宋体"/>
          <w:b/>
          <w:bCs/>
          <w:sz w:val="24"/>
        </w:rPr>
        <w:t xml:space="preserve">（须提供系统升级平稳过渡承诺函，格式自拟，未提供将作为无效投标）</w:t>
      </w:r>
      <w:r/>
    </w:p>
    <w:p>
      <w:pPr>
        <w:ind w:firstLine="482"/>
        <w:spacing w:line="400" w:lineRule="exact"/>
        <w:rPr>
          <w:rFonts w:ascii="宋体" w:hAnsi="宋体" w:eastAsia="宋体" w:cs="宋体"/>
          <w:sz w:val="24"/>
        </w:rPr>
      </w:pPr>
      <w:r>
        <w:rPr>
          <w:rFonts w:hint="eastAsia" w:ascii="宋体" w:hAnsi="宋体" w:eastAsia="宋体" w:cs="宋体"/>
          <w:sz w:val="24"/>
        </w:rPr>
        <w:t xml:space="preserve">投标人应具备医疗卫生信息数据的安全应用软件开发能力和隐私信息管理体系，系统</w:t>
      </w:r>
      <w:r>
        <w:rPr>
          <w:rFonts w:hint="eastAsia" w:ascii="宋体" w:hAnsi="宋体" w:eastAsia="宋体" w:cs="宋体"/>
          <w:sz w:val="24"/>
        </w:rPr>
        <w:t xml:space="preserve">应能满足实现7×24小时连续安全运行的要求，并支持统一权限与登录管理、日志监控等安全措施，支持医疗卫生行业的敏感数据加密应用。</w:t>
      </w:r>
      <w:r/>
    </w:p>
    <w:p>
      <w:pPr>
        <w:ind w:firstLine="482"/>
        <w:spacing w:line="400" w:lineRule="exact"/>
        <w:rPr>
          <w:rFonts w:ascii="宋体" w:hAnsi="宋体" w:eastAsia="宋体" w:cs="宋体"/>
          <w:sz w:val="24"/>
        </w:rPr>
      </w:pPr>
      <w:r>
        <w:rPr>
          <w:rFonts w:hint="eastAsia" w:ascii="宋体" w:hAnsi="宋体" w:eastAsia="宋体" w:cs="宋体"/>
          <w:sz w:val="24"/>
        </w:rPr>
        <w:t xml:space="preserve">为</w:t>
      </w:r>
      <w:r>
        <w:rPr>
          <w:rFonts w:hint="eastAsia" w:ascii="宋体" w:hAnsi="宋体" w:eastAsia="宋体" w:cs="宋体"/>
          <w:sz w:val="24"/>
        </w:rPr>
        <w:t xml:space="preserve">响应国</w:t>
      </w:r>
      <w:r>
        <w:rPr>
          <w:rFonts w:hint="eastAsia" w:ascii="宋体" w:hAnsi="宋体" w:eastAsia="宋体" w:cs="宋体"/>
          <w:sz w:val="24"/>
        </w:rPr>
        <w:t xml:space="preserve">家信创政策，满足未来发展需要，投标人在建设过程中应尽可能考虑兼容数据库管理软件、服务器操作系统、中间件等国产化基础软件的需求。</w:t>
      </w:r>
      <w:r/>
    </w:p>
    <w:p>
      <w:pPr>
        <w:ind w:firstLine="482"/>
        <w:spacing w:line="400" w:lineRule="exact"/>
        <w:rPr>
          <w:rFonts w:ascii="宋体" w:hAnsi="宋体" w:eastAsia="宋体" w:cs="宋体"/>
          <w:b/>
          <w:sz w:val="24"/>
        </w:rPr>
      </w:pPr>
      <w:r>
        <w:rPr>
          <w:rFonts w:hint="eastAsia" w:ascii="宋体" w:hAnsi="宋体" w:eastAsia="宋体" w:cs="宋体"/>
          <w:b/>
          <w:sz w:val="24"/>
        </w:rPr>
        <w:t xml:space="preserve">2.2、设计原则</w:t>
      </w:r>
      <w:r/>
    </w:p>
    <w:p>
      <w:pPr>
        <w:ind w:firstLine="482"/>
        <w:spacing w:line="400" w:lineRule="exact"/>
        <w:rPr>
          <w:rFonts w:ascii="宋体" w:hAnsi="宋体" w:eastAsia="宋体" w:cs="宋体"/>
          <w:sz w:val="24"/>
        </w:rPr>
      </w:pPr>
      <w:r>
        <w:rPr>
          <w:rFonts w:hint="eastAsia" w:ascii="宋体" w:hAnsi="宋体" w:eastAsia="宋体" w:cs="宋体"/>
          <w:sz w:val="24"/>
        </w:rPr>
        <w:t xml:space="preserve">投标产品应具有较好的先进性、可操作性、可维护性、可靠性与安全性、整合性与扩展性、高性能等特点。</w:t>
      </w:r>
      <w:r/>
    </w:p>
    <w:p>
      <w:pPr>
        <w:ind w:firstLine="482"/>
        <w:spacing w:line="400" w:lineRule="exact"/>
        <w:rPr>
          <w:rFonts w:ascii="宋体" w:hAnsi="宋体" w:eastAsia="宋体" w:cs="宋体"/>
          <w:sz w:val="24"/>
        </w:rPr>
      </w:pPr>
      <w:r>
        <w:rPr>
          <w:rFonts w:hint="eastAsia" w:ascii="宋体" w:hAnsi="宋体" w:eastAsia="宋体" w:cs="宋体"/>
          <w:sz w:val="24"/>
        </w:rPr>
        <w:t xml:space="preserve">（1）标准化</w:t>
      </w:r>
      <w:r/>
    </w:p>
    <w:p>
      <w:pPr>
        <w:ind w:firstLine="482"/>
        <w:spacing w:line="400" w:lineRule="exact"/>
        <w:rPr>
          <w:rFonts w:ascii="宋体" w:hAnsi="宋体" w:eastAsia="宋体" w:cs="宋体"/>
          <w:sz w:val="24"/>
        </w:rPr>
      </w:pPr>
      <w:r>
        <w:rPr>
          <w:rFonts w:hint="eastAsia" w:ascii="宋体" w:hAnsi="宋体" w:eastAsia="宋体" w:cs="宋体"/>
          <w:sz w:val="24"/>
        </w:rPr>
        <w:t xml:space="preserve">建设的系统必须按照国家发布</w:t>
      </w:r>
      <w:r>
        <w:rPr>
          <w:rFonts w:hint="eastAsia" w:ascii="宋体" w:hAnsi="宋体" w:eastAsia="宋体" w:cs="宋体"/>
          <w:sz w:val="24"/>
        </w:rPr>
        <w:t xml:space="preserve">的《基于电子病历的医院信息平台建设技术解决方案》、《基于电子病历的医院信息平台技术规范》的标准规范要求，相关产品应遵循医院信息系统功能规范、数字化医院试点示范信息化建设要求以及电子病历分级评价和互联互通相关评测和医院智慧服务分级评价要求，产品应遵循医院指定的行业标准并制定相应的技术接口，支持以集成平台进行应用集成的技术标准，实现较高的标准化要求，以达到统一管理，统一标准，互联互通的要求。采用开放的、可扩展的数据标准，支持数据标准的动态变化，支持HL7标准，以及向后兼容今后国家、行业、地方所出台的数据标准等。</w:t>
      </w:r>
      <w:r/>
    </w:p>
    <w:p>
      <w:pPr>
        <w:ind w:firstLine="482"/>
        <w:spacing w:line="400" w:lineRule="exact"/>
        <w:rPr>
          <w:rFonts w:ascii="宋体" w:hAnsi="宋体" w:eastAsia="宋体" w:cs="宋体"/>
          <w:sz w:val="24"/>
        </w:rPr>
      </w:pPr>
      <w:r>
        <w:rPr>
          <w:rFonts w:hint="eastAsia" w:ascii="宋体" w:hAnsi="宋体" w:eastAsia="宋体" w:cs="宋体"/>
          <w:sz w:val="24"/>
        </w:rPr>
        <w:t xml:space="preserve">（2）先进性</w:t>
      </w:r>
      <w:r/>
    </w:p>
    <w:p>
      <w:pPr>
        <w:ind w:firstLine="482"/>
        <w:spacing w:line="400" w:lineRule="exact"/>
        <w:rPr>
          <w:rFonts w:ascii="宋体" w:hAnsi="宋体" w:eastAsia="宋体" w:cs="宋体"/>
          <w:sz w:val="24"/>
        </w:rPr>
      </w:pPr>
      <w:r>
        <w:rPr>
          <w:rFonts w:hint="eastAsia" w:ascii="宋体" w:hAnsi="宋体" w:eastAsia="宋体" w:cs="宋体"/>
          <w:sz w:val="24"/>
        </w:rPr>
        <w:t xml:space="preserve">系统应采用灵活的、稳定的信息技术架构，整个系统平台架构采用门户平台方式，可以集成B/S与C/S多种架构体系的不同产品，可以灵活配置用户使用功能及界面，能满足医院日益变化的个性化需求。通过门户可以对其他各种业务系统进行统一安全认证管理，实现整个业务系统的单点登录。</w:t>
      </w:r>
      <w:r/>
    </w:p>
    <w:p>
      <w:pPr>
        <w:ind w:firstLine="482"/>
        <w:spacing w:line="400" w:lineRule="exact"/>
        <w:rPr>
          <w:rFonts w:ascii="宋体" w:hAnsi="宋体" w:eastAsia="宋体" w:cs="宋体"/>
          <w:sz w:val="24"/>
        </w:rPr>
      </w:pPr>
      <w:r>
        <w:rPr>
          <w:rFonts w:hint="eastAsia" w:ascii="宋体" w:hAnsi="宋体" w:eastAsia="宋体" w:cs="宋体"/>
          <w:sz w:val="24"/>
        </w:rPr>
        <w:t xml:space="preserve">（3）可操作性</w:t>
      </w:r>
      <w:r/>
    </w:p>
    <w:p>
      <w:pPr>
        <w:ind w:firstLine="482"/>
        <w:spacing w:line="400" w:lineRule="exact"/>
        <w:rPr>
          <w:rFonts w:ascii="宋体" w:hAnsi="宋体" w:eastAsia="宋体" w:cs="宋体"/>
          <w:sz w:val="24"/>
        </w:rPr>
      </w:pPr>
      <w:r>
        <w:rPr>
          <w:rFonts w:hint="eastAsia" w:ascii="宋体" w:hAnsi="宋体" w:eastAsia="宋体" w:cs="宋体"/>
          <w:sz w:val="24"/>
        </w:rPr>
        <w:t xml:space="preserve">整个信息系统应采用统一的界面风格，建立图形导航图，用户可以根据自己操作习惯配置自己常用功能的快捷方式。在操作界面上提供多种人性化的提示符号。主要功能的按钮图片放大处理，让操作员操作更加清晰。</w:t>
      </w:r>
      <w:r/>
    </w:p>
    <w:p>
      <w:pPr>
        <w:ind w:firstLine="482"/>
        <w:spacing w:line="400" w:lineRule="exact"/>
        <w:rPr>
          <w:rFonts w:ascii="宋体" w:hAnsi="宋体" w:eastAsia="宋体" w:cs="宋体"/>
          <w:sz w:val="24"/>
        </w:rPr>
      </w:pPr>
      <w:r>
        <w:rPr>
          <w:rFonts w:hint="eastAsia" w:ascii="宋体" w:hAnsi="宋体" w:eastAsia="宋体" w:cs="宋体"/>
          <w:sz w:val="24"/>
        </w:rPr>
        <w:t xml:space="preserve">（4）可维护性</w:t>
      </w:r>
      <w:r/>
    </w:p>
    <w:p>
      <w:pPr>
        <w:ind w:firstLine="482"/>
        <w:spacing w:line="400" w:lineRule="exact"/>
        <w:rPr>
          <w:rFonts w:ascii="宋体" w:hAnsi="宋体" w:eastAsia="宋体" w:cs="宋体"/>
          <w:sz w:val="24"/>
        </w:rPr>
      </w:pPr>
      <w:r>
        <w:rPr>
          <w:rFonts w:hint="eastAsia" w:ascii="宋体" w:hAnsi="宋体" w:eastAsia="宋体" w:cs="宋体"/>
          <w:sz w:val="24"/>
        </w:rPr>
        <w:t xml:space="preserve">系统应能实现统一维护，统一权限管理，统一数据库链接池管理。具有自动更新升级管理和错误日志管理功能。</w:t>
      </w:r>
      <w:r/>
    </w:p>
    <w:p>
      <w:pPr>
        <w:ind w:firstLine="482"/>
        <w:spacing w:line="400" w:lineRule="exact"/>
        <w:rPr>
          <w:rFonts w:ascii="宋体" w:hAnsi="宋体" w:eastAsia="宋体" w:cs="宋体"/>
          <w:sz w:val="24"/>
        </w:rPr>
      </w:pPr>
      <w:r>
        <w:rPr>
          <w:rFonts w:hint="eastAsia" w:ascii="宋体" w:hAnsi="宋体" w:eastAsia="宋体" w:cs="宋体"/>
          <w:sz w:val="24"/>
        </w:rPr>
        <w:t xml:space="preserve">（5）安全性</w:t>
      </w:r>
      <w:r/>
    </w:p>
    <w:p>
      <w:pPr>
        <w:ind w:firstLine="482"/>
        <w:spacing w:line="400" w:lineRule="exact"/>
        <w:rPr>
          <w:rFonts w:ascii="宋体" w:hAnsi="宋体" w:eastAsia="宋体" w:cs="宋体"/>
          <w:sz w:val="24"/>
        </w:rPr>
      </w:pPr>
      <w:r>
        <w:rPr>
          <w:rFonts w:hint="eastAsia" w:ascii="宋体" w:hAnsi="宋体" w:eastAsia="宋体" w:cs="宋体"/>
          <w:sz w:val="24"/>
        </w:rPr>
        <w:t xml:space="preserve">系统应满足实现系统7×24h连续安全运行，性能可靠，易于维护。由于本项目建设涉及大量医疗业务数据和患者隐私数据，系统安全保障极为重要，投标人应从物理安全、网络安全、应用安全、数据安全、安全管理等多个层面提供详细的安全防护建议方案，以确保系统和数据的安全性。</w:t>
      </w:r>
      <w:r/>
    </w:p>
    <w:p>
      <w:pPr>
        <w:ind w:firstLine="482"/>
        <w:spacing w:line="400" w:lineRule="exact"/>
        <w:rPr>
          <w:rFonts w:ascii="宋体" w:hAnsi="宋体" w:eastAsia="宋体" w:cs="宋体"/>
          <w:sz w:val="24"/>
        </w:rPr>
      </w:pPr>
      <w:r>
        <w:rPr>
          <w:rFonts w:hint="eastAsia" w:ascii="宋体" w:hAnsi="宋体" w:eastAsia="宋体" w:cs="宋体"/>
          <w:sz w:val="24"/>
        </w:rPr>
        <w:t xml:space="preserve">（6）整合性与扩展性</w:t>
      </w:r>
      <w:r/>
    </w:p>
    <w:p>
      <w:pPr>
        <w:ind w:firstLine="482"/>
        <w:spacing w:line="400" w:lineRule="exact"/>
        <w:rPr>
          <w:rFonts w:ascii="宋体" w:hAnsi="宋体" w:eastAsia="宋体" w:cs="宋体"/>
          <w:sz w:val="24"/>
        </w:rPr>
      </w:pPr>
      <w:r>
        <w:rPr>
          <w:rFonts w:hint="eastAsia" w:ascii="宋体" w:hAnsi="宋体" w:eastAsia="宋体" w:cs="宋体"/>
          <w:sz w:val="24"/>
        </w:rPr>
        <w:t xml:space="preserve">系统应采用灵活的基于门户的可扩展性架构，系统可以融合各类不同体系架构产品。系统所有功能菜单可按用户角色的需求进行随时调整和组建。</w:t>
      </w:r>
      <w:r/>
    </w:p>
    <w:p>
      <w:pPr>
        <w:ind w:firstLine="482"/>
        <w:spacing w:line="400" w:lineRule="exact"/>
        <w:rPr>
          <w:rFonts w:ascii="宋体" w:hAnsi="宋体" w:eastAsia="宋体" w:cs="宋体"/>
          <w:sz w:val="24"/>
        </w:rPr>
      </w:pPr>
      <w:r>
        <w:rPr>
          <w:rFonts w:hint="eastAsia" w:ascii="宋体" w:hAnsi="宋体" w:eastAsia="宋体" w:cs="宋体"/>
          <w:sz w:val="24"/>
        </w:rPr>
        <w:t xml:space="preserve">同时医院信息系统按照国际、国内有关标准开发设计。</w:t>
      </w:r>
      <w:r/>
    </w:p>
    <w:p>
      <w:pPr>
        <w:ind w:firstLine="482"/>
        <w:spacing w:line="400" w:lineRule="exact"/>
        <w:rPr>
          <w:rFonts w:ascii="宋体" w:hAnsi="宋体" w:eastAsia="宋体" w:cs="宋体"/>
          <w:sz w:val="24"/>
        </w:rPr>
      </w:pPr>
      <w:r>
        <w:rPr>
          <w:rFonts w:hint="eastAsia" w:ascii="宋体" w:hAnsi="宋体" w:eastAsia="宋体" w:cs="宋体"/>
          <w:sz w:val="24"/>
        </w:rPr>
        <w:t xml:space="preserve">采用开放式的系统软件平台、模块化的应用软件结构，系统应能灵活地扩充其业务功能，并可与其他业务系统进行无缝互连。</w:t>
      </w:r>
      <w:r/>
    </w:p>
    <w:p>
      <w:pPr>
        <w:ind w:firstLine="482"/>
        <w:spacing w:line="400" w:lineRule="exact"/>
        <w:rPr>
          <w:rFonts w:ascii="宋体" w:hAnsi="宋体" w:eastAsia="宋体" w:cs="宋体"/>
          <w:sz w:val="24"/>
        </w:rPr>
      </w:pPr>
      <w:r>
        <w:rPr>
          <w:rFonts w:hint="eastAsia" w:ascii="宋体" w:hAnsi="宋体" w:eastAsia="宋体" w:cs="宋体"/>
          <w:sz w:val="24"/>
        </w:rPr>
        <w:t xml:space="preserve">（7）高性能</w:t>
      </w:r>
      <w:r/>
    </w:p>
    <w:p>
      <w:pPr>
        <w:ind w:firstLine="482"/>
        <w:spacing w:line="400" w:lineRule="exact"/>
        <w:rPr>
          <w:rFonts w:ascii="宋体" w:hAnsi="宋体" w:eastAsia="宋体" w:cs="宋体"/>
          <w:sz w:val="24"/>
        </w:rPr>
      </w:pPr>
      <w:r>
        <w:rPr>
          <w:rFonts w:hint="eastAsia" w:ascii="宋体" w:hAnsi="宋体" w:eastAsia="宋体" w:cs="宋体"/>
          <w:sz w:val="24"/>
        </w:rPr>
        <w:t xml:space="preserve">系统应充分考虑医院程序大业务量环境中运行的效率，防止死锁和并发操作。系统应支持自动任务管理系统，可以把比较大的，实时性不强的业务放到晚上执行，整个过程无须人工干涉，以合理分配医院服务器的资源，提高医院服务器的利用率。</w:t>
      </w:r>
      <w:r/>
    </w:p>
    <w:p>
      <w:pPr>
        <w:ind w:firstLine="482"/>
        <w:spacing w:line="400" w:lineRule="exact"/>
        <w:rPr>
          <w:rFonts w:ascii="宋体" w:hAnsi="宋体" w:eastAsia="宋体" w:cs="宋体"/>
          <w:b/>
          <w:sz w:val="24"/>
        </w:rPr>
      </w:pPr>
      <w:r>
        <w:rPr>
          <w:rFonts w:hint="eastAsia" w:ascii="宋体" w:hAnsi="宋体" w:eastAsia="宋体" w:cs="宋体"/>
          <w:b/>
          <w:sz w:val="24"/>
        </w:rPr>
        <w:t xml:space="preserve">2.3、操作要求</w:t>
      </w:r>
      <w:r/>
    </w:p>
    <w:p>
      <w:pPr>
        <w:ind w:firstLine="482"/>
        <w:spacing w:line="400" w:lineRule="exact"/>
        <w:rPr>
          <w:rFonts w:ascii="宋体" w:hAnsi="宋体" w:eastAsia="宋体" w:cs="宋体"/>
          <w:sz w:val="24"/>
        </w:rPr>
      </w:pPr>
      <w:r>
        <w:rPr>
          <w:rFonts w:hint="eastAsia" w:ascii="宋体" w:hAnsi="宋体" w:eastAsia="宋体" w:cs="宋体"/>
          <w:sz w:val="24"/>
        </w:rPr>
        <w:t xml:space="preserve">系统应根据医院的操作习惯和规范要求，在原产品的基本保留原操作风格的基础上进行提升，使得操作更加方便和人性化，满足以下人机交互的改进：</w:t>
      </w:r>
      <w:r/>
    </w:p>
    <w:p>
      <w:pPr>
        <w:ind w:firstLine="482"/>
        <w:spacing w:line="400" w:lineRule="exact"/>
        <w:rPr>
          <w:rFonts w:ascii="宋体" w:hAnsi="宋体" w:eastAsia="宋体" w:cs="宋体"/>
          <w:sz w:val="24"/>
        </w:rPr>
      </w:pPr>
      <w:r>
        <w:rPr>
          <w:rFonts w:hint="eastAsia" w:ascii="宋体" w:hAnsi="宋体" w:eastAsia="宋体" w:cs="宋体"/>
          <w:sz w:val="24"/>
        </w:rPr>
        <w:t xml:space="preserve">（1）操作界面：</w:t>
      </w:r>
      <w:r/>
    </w:p>
    <w:p>
      <w:pPr>
        <w:ind w:firstLine="482"/>
        <w:spacing w:line="400" w:lineRule="exact"/>
        <w:rPr>
          <w:rFonts w:ascii="宋体" w:hAnsi="宋体" w:eastAsia="宋体" w:cs="宋体"/>
          <w:sz w:val="24"/>
        </w:rPr>
      </w:pPr>
      <w:r>
        <w:rPr>
          <w:rFonts w:hint="eastAsia" w:ascii="宋体" w:hAnsi="宋体" w:eastAsia="宋体" w:cs="宋体"/>
          <w:sz w:val="24"/>
        </w:rPr>
        <w:t xml:space="preserve">整个信息系统应采用统一的界面风格，建立图形导航图，用户可以根据自己操作习惯配置自己常用功能的快捷方式。</w:t>
      </w:r>
      <w:r/>
    </w:p>
    <w:p>
      <w:pPr>
        <w:ind w:firstLine="482"/>
        <w:spacing w:line="400" w:lineRule="exact"/>
        <w:rPr>
          <w:rFonts w:ascii="宋体" w:hAnsi="宋体" w:eastAsia="宋体" w:cs="宋体"/>
          <w:sz w:val="24"/>
        </w:rPr>
      </w:pPr>
      <w:r>
        <w:rPr>
          <w:rFonts w:hint="eastAsia" w:ascii="宋体" w:hAnsi="宋体" w:eastAsia="宋体" w:cs="宋体"/>
          <w:sz w:val="24"/>
        </w:rPr>
        <w:t xml:space="preserve">在操作界面上应提供多种人性化的提示符号。</w:t>
      </w:r>
      <w:r/>
    </w:p>
    <w:p>
      <w:pPr>
        <w:ind w:firstLine="482"/>
        <w:spacing w:line="400" w:lineRule="exact"/>
        <w:rPr>
          <w:rFonts w:ascii="宋体" w:hAnsi="宋体" w:eastAsia="宋体" w:cs="宋体"/>
          <w:sz w:val="24"/>
        </w:rPr>
      </w:pPr>
      <w:r>
        <w:rPr>
          <w:rFonts w:hint="eastAsia" w:ascii="宋体" w:hAnsi="宋体" w:eastAsia="宋体" w:cs="宋体"/>
          <w:sz w:val="24"/>
        </w:rPr>
        <w:t xml:space="preserve">支持主要功能的按钮图片放大处理，让操作员操作更加清晰。</w:t>
      </w:r>
      <w:r/>
    </w:p>
    <w:p>
      <w:pPr>
        <w:ind w:firstLine="482"/>
        <w:spacing w:line="400" w:lineRule="exact"/>
        <w:rPr>
          <w:rFonts w:ascii="宋体" w:hAnsi="宋体" w:eastAsia="宋体" w:cs="宋体"/>
          <w:sz w:val="24"/>
        </w:rPr>
      </w:pPr>
      <w:r>
        <w:rPr>
          <w:rFonts w:hint="eastAsia" w:ascii="宋体" w:hAnsi="宋体" w:eastAsia="宋体" w:cs="宋体"/>
          <w:sz w:val="24"/>
        </w:rPr>
        <w:t xml:space="preserve">支持用户可以自定义主题。</w:t>
      </w:r>
      <w:r/>
    </w:p>
    <w:p>
      <w:pPr>
        <w:ind w:firstLine="482"/>
        <w:spacing w:line="400" w:lineRule="exact"/>
        <w:rPr>
          <w:rFonts w:ascii="宋体" w:hAnsi="宋体" w:eastAsia="宋体" w:cs="宋体"/>
          <w:sz w:val="24"/>
        </w:rPr>
      </w:pPr>
      <w:r>
        <w:rPr>
          <w:rFonts w:hint="eastAsia" w:ascii="宋体" w:hAnsi="宋体" w:eastAsia="宋体" w:cs="宋体"/>
          <w:sz w:val="24"/>
        </w:rPr>
        <w:t xml:space="preserve">支持用户自定义输入法。</w:t>
      </w:r>
      <w:r/>
    </w:p>
    <w:p>
      <w:pPr>
        <w:ind w:firstLine="482"/>
        <w:spacing w:line="400" w:lineRule="exact"/>
        <w:rPr>
          <w:rFonts w:ascii="宋体" w:hAnsi="宋体" w:eastAsia="宋体" w:cs="宋体"/>
          <w:sz w:val="24"/>
        </w:rPr>
      </w:pPr>
      <w:r>
        <w:rPr>
          <w:rFonts w:hint="eastAsia" w:ascii="宋体" w:hAnsi="宋体" w:eastAsia="宋体" w:cs="宋体"/>
          <w:sz w:val="24"/>
        </w:rPr>
        <w:t xml:space="preserve">支持自</w:t>
      </w:r>
      <w:r>
        <w:rPr>
          <w:rFonts w:hint="eastAsia" w:ascii="宋体" w:hAnsi="宋体" w:eastAsia="宋体" w:cs="宋体"/>
          <w:sz w:val="24"/>
        </w:rPr>
        <w:t xml:space="preserve">用户定义屏幕保护。</w:t>
      </w:r>
      <w:r/>
    </w:p>
    <w:p>
      <w:pPr>
        <w:ind w:firstLine="482"/>
        <w:spacing w:line="400" w:lineRule="exact"/>
        <w:rPr>
          <w:rFonts w:ascii="宋体" w:hAnsi="宋体" w:eastAsia="宋体" w:cs="宋体"/>
          <w:sz w:val="24"/>
        </w:rPr>
      </w:pPr>
      <w:r>
        <w:rPr>
          <w:rFonts w:hint="eastAsia" w:ascii="宋体" w:hAnsi="宋体" w:eastAsia="宋体" w:cs="宋体"/>
          <w:sz w:val="24"/>
        </w:rPr>
        <w:t xml:space="preserve">支持用户可以自定义桌面部件。</w:t>
      </w:r>
      <w:r/>
    </w:p>
    <w:p>
      <w:pPr>
        <w:ind w:firstLine="482"/>
        <w:spacing w:line="400" w:lineRule="exact"/>
        <w:rPr>
          <w:rFonts w:ascii="宋体" w:hAnsi="宋体" w:eastAsia="宋体" w:cs="宋体"/>
          <w:sz w:val="24"/>
        </w:rPr>
      </w:pPr>
      <w:r>
        <w:rPr>
          <w:rFonts w:hint="eastAsia" w:ascii="宋体" w:hAnsi="宋体" w:eastAsia="宋体" w:cs="宋体"/>
          <w:sz w:val="24"/>
        </w:rPr>
        <w:t xml:space="preserve">（2）建立帮助系统</w:t>
      </w:r>
      <w:r/>
    </w:p>
    <w:p>
      <w:pPr>
        <w:ind w:firstLine="482"/>
        <w:spacing w:line="400" w:lineRule="exact"/>
        <w:rPr>
          <w:rFonts w:ascii="宋体" w:hAnsi="宋体" w:eastAsia="宋体" w:cs="宋体"/>
          <w:sz w:val="24"/>
        </w:rPr>
      </w:pPr>
      <w:r>
        <w:rPr>
          <w:rFonts w:hint="eastAsia" w:ascii="宋体" w:hAnsi="宋体" w:eastAsia="宋体" w:cs="宋体"/>
          <w:sz w:val="24"/>
        </w:rPr>
        <w:t xml:space="preserve">对于系统主要操作功能，应在系统上建立帮助系统，操作员操作时若对功能不熟悉，可以点击操作帮助按钮，了解本项操作功能。让操作员更快熟悉系统，减少误操作带来的麻烦，提高工作效率。</w:t>
      </w:r>
      <w:r/>
    </w:p>
    <w:p>
      <w:pPr>
        <w:ind w:firstLine="482"/>
        <w:spacing w:line="400" w:lineRule="exact"/>
        <w:rPr>
          <w:rFonts w:ascii="宋体" w:hAnsi="宋体" w:eastAsia="宋体" w:cs="宋体"/>
          <w:b/>
          <w:sz w:val="24"/>
        </w:rPr>
      </w:pPr>
      <w:r>
        <w:rPr>
          <w:rFonts w:hint="eastAsia" w:ascii="宋体" w:hAnsi="宋体" w:eastAsia="宋体" w:cs="宋体"/>
          <w:b/>
          <w:sz w:val="24"/>
        </w:rPr>
        <w:t xml:space="preserve">2.4、用户体验</w:t>
      </w:r>
      <w:r/>
    </w:p>
    <w:p>
      <w:pPr>
        <w:ind w:firstLine="482"/>
        <w:spacing w:line="400" w:lineRule="exact"/>
        <w:rPr>
          <w:rFonts w:ascii="宋体" w:hAnsi="宋体" w:eastAsia="宋体" w:cs="宋体"/>
          <w:sz w:val="24"/>
        </w:rPr>
      </w:pPr>
      <w:r>
        <w:rPr>
          <w:rFonts w:hint="eastAsia" w:ascii="宋体" w:hAnsi="宋体" w:eastAsia="宋体" w:cs="宋体"/>
          <w:sz w:val="24"/>
        </w:rPr>
        <w:t xml:space="preserve">（1）系统应支持分布式事务，保证事务处理的完整性、一致性。</w:t>
      </w:r>
      <w:r/>
    </w:p>
    <w:p>
      <w:pPr>
        <w:ind w:firstLine="482"/>
        <w:spacing w:line="400" w:lineRule="exact"/>
        <w:rPr>
          <w:rFonts w:ascii="宋体" w:hAnsi="宋体" w:eastAsia="宋体" w:cs="宋体"/>
          <w:sz w:val="24"/>
        </w:rPr>
      </w:pPr>
      <w:r>
        <w:rPr>
          <w:rFonts w:hint="eastAsia" w:ascii="宋体" w:hAnsi="宋体" w:eastAsia="宋体" w:cs="宋体"/>
          <w:sz w:val="24"/>
        </w:rPr>
        <w:t xml:space="preserve">（2）系统应提供事务处理组件，事务正确性自检验。</w:t>
      </w:r>
      <w:r/>
    </w:p>
    <w:p>
      <w:pPr>
        <w:ind w:firstLine="482"/>
        <w:spacing w:line="400" w:lineRule="exact"/>
        <w:rPr>
          <w:rFonts w:ascii="宋体" w:hAnsi="宋体" w:eastAsia="宋体" w:cs="宋体"/>
          <w:sz w:val="24"/>
        </w:rPr>
      </w:pPr>
      <w:r>
        <w:rPr>
          <w:rFonts w:hint="eastAsia" w:ascii="宋体" w:hAnsi="宋体" w:eastAsia="宋体" w:cs="宋体"/>
          <w:sz w:val="24"/>
        </w:rPr>
        <w:t xml:space="preserve">（3）系统应支持多数据窗口保存算法，防止更新时遇中途失败，用户再次保存时导致只有部分数据提交的问题。</w:t>
      </w:r>
      <w:r/>
    </w:p>
    <w:p>
      <w:pPr>
        <w:ind w:firstLine="482"/>
        <w:spacing w:line="400" w:lineRule="exact"/>
        <w:rPr>
          <w:rFonts w:ascii="宋体" w:hAnsi="宋体" w:eastAsia="宋体" w:cs="宋体"/>
          <w:sz w:val="24"/>
        </w:rPr>
      </w:pPr>
      <w:r>
        <w:rPr>
          <w:rFonts w:hint="eastAsia" w:ascii="宋体" w:hAnsi="宋体" w:eastAsia="宋体" w:cs="宋体"/>
          <w:sz w:val="24"/>
        </w:rPr>
        <w:t xml:space="preserve">（4）当应用程序保存失败时，系统应能正确保存错误现场信息并</w:t>
      </w:r>
      <w:r>
        <w:rPr>
          <w:rFonts w:hint="eastAsia" w:ascii="宋体" w:hAnsi="宋体" w:eastAsia="宋体" w:cs="宋体"/>
          <w:sz w:val="24"/>
        </w:rPr>
        <w:t xml:space="preserve">回滚错误</w:t>
      </w:r>
      <w:r>
        <w:rPr>
          <w:rFonts w:hint="eastAsia" w:ascii="宋体" w:hAnsi="宋体" w:eastAsia="宋体" w:cs="宋体"/>
          <w:sz w:val="24"/>
        </w:rPr>
        <w:t xml:space="preserve">数据。</w:t>
      </w:r>
      <w:r/>
    </w:p>
    <w:p>
      <w:pPr>
        <w:ind w:firstLine="482"/>
        <w:spacing w:line="400" w:lineRule="exact"/>
        <w:rPr>
          <w:rFonts w:ascii="宋体" w:hAnsi="宋体" w:eastAsia="宋体" w:cs="宋体"/>
          <w:sz w:val="24"/>
        </w:rPr>
      </w:pPr>
      <w:r>
        <w:rPr>
          <w:rFonts w:hint="eastAsia" w:ascii="宋体" w:hAnsi="宋体" w:eastAsia="宋体" w:cs="宋体"/>
          <w:sz w:val="24"/>
        </w:rPr>
        <w:t xml:space="preserve">（5）响应并满足对关键业务进行利用BCL进行并发业务控制，防止因不同客户端业务并发导致数据的不准确。</w:t>
      </w:r>
      <w:r/>
    </w:p>
    <w:p>
      <w:pPr>
        <w:ind w:firstLine="482"/>
        <w:spacing w:line="400" w:lineRule="exact"/>
        <w:rPr>
          <w:rFonts w:ascii="宋体" w:hAnsi="宋体" w:eastAsia="宋体" w:cs="宋体"/>
          <w:sz w:val="24"/>
        </w:rPr>
      </w:pPr>
      <w:r>
        <w:rPr>
          <w:rFonts w:hint="eastAsia" w:ascii="宋体" w:hAnsi="宋体" w:eastAsia="宋体" w:cs="宋体"/>
          <w:sz w:val="24"/>
        </w:rPr>
        <w:t xml:space="preserve">（6）实现与原先连接的软件的接口，确保无缝连接和数据交换的顺畅性。</w:t>
      </w:r>
      <w:r/>
    </w:p>
    <w:p>
      <w:pPr>
        <w:ind w:firstLine="482"/>
        <w:spacing w:line="400" w:lineRule="exact"/>
        <w:rPr>
          <w:rFonts w:ascii="宋体" w:hAnsi="宋体" w:eastAsia="宋体" w:cs="宋体"/>
          <w:b/>
          <w:sz w:val="24"/>
        </w:rPr>
      </w:pPr>
      <w:r>
        <w:rPr>
          <w:rFonts w:hint="eastAsia" w:ascii="宋体" w:hAnsi="宋体" w:eastAsia="宋体" w:cs="宋体"/>
          <w:b/>
          <w:sz w:val="24"/>
        </w:rPr>
        <w:t xml:space="preserve">2.5、系统安全</w:t>
      </w:r>
      <w:r/>
    </w:p>
    <w:p>
      <w:pPr>
        <w:ind w:firstLine="480"/>
        <w:spacing w:line="400" w:lineRule="exact"/>
        <w:rPr>
          <w:rFonts w:ascii="宋体" w:hAnsi="宋体" w:cs="Times New Roman (正文 CS 字体)"/>
          <w:sz w:val="24"/>
        </w:rPr>
      </w:pPr>
      <w:r>
        <w:rPr>
          <w:rFonts w:hint="eastAsia" w:ascii="宋体" w:hAnsi="宋体" w:cs="Times New Roman (正文 CS 字体)"/>
          <w:sz w:val="24"/>
        </w:rPr>
        <w:t xml:space="preserve">（</w:t>
      </w:r>
      <w:r>
        <w:rPr>
          <w:rFonts w:ascii="宋体" w:hAnsi="宋体" w:cs="Times New Roman (正文 CS 字体)"/>
          <w:sz w:val="24"/>
        </w:rPr>
        <w:t xml:space="preserve">1）系统应支持电子认证功能服务。</w:t>
      </w:r>
      <w:r/>
    </w:p>
    <w:p>
      <w:pPr>
        <w:ind w:firstLine="480"/>
        <w:spacing w:line="400" w:lineRule="exact"/>
        <w:rPr>
          <w:rFonts w:ascii="宋体" w:hAnsi="宋体" w:cs="Times New Roman (正文 CS 字体)"/>
          <w:sz w:val="24"/>
        </w:rPr>
      </w:pPr>
      <w:r>
        <w:rPr>
          <w:rFonts w:hint="eastAsia" w:ascii="宋体" w:hAnsi="宋体" w:cs="Times New Roman (正文 CS 字体)"/>
          <w:sz w:val="24"/>
        </w:rPr>
        <w:t xml:space="preserve">（</w:t>
      </w:r>
      <w:r>
        <w:rPr>
          <w:rFonts w:ascii="宋体" w:hAnsi="宋体" w:cs="Times New Roman (正文 CS 字体)"/>
          <w:sz w:val="24"/>
        </w:rPr>
        <w:t xml:space="preserve">2）</w:t>
      </w:r>
      <w:r>
        <w:rPr>
          <w:rFonts w:hint="eastAsia" w:ascii="宋体" w:hAnsi="宋体" w:cs="Times New Roman (正文 CS 字体)"/>
          <w:sz w:val="24"/>
        </w:rPr>
        <w:t xml:space="preserve">支持</w:t>
      </w:r>
      <w:r>
        <w:rPr>
          <w:rFonts w:ascii="宋体" w:hAnsi="宋体" w:cs="Times New Roman (正文 CS 字体)"/>
          <w:sz w:val="24"/>
        </w:rPr>
        <w:t xml:space="preserve">门户平台统一安全管理业务数据库信息，如HIS、EMR。</w:t>
      </w:r>
      <w:r/>
    </w:p>
    <w:p>
      <w:pPr>
        <w:ind w:firstLine="480"/>
        <w:spacing w:line="400" w:lineRule="exact"/>
        <w:rPr>
          <w:rFonts w:ascii="宋体" w:hAnsi="宋体" w:cs="Times New Roman (正文 CS 字体)"/>
          <w:sz w:val="24"/>
        </w:rPr>
      </w:pPr>
      <w:r>
        <w:rPr>
          <w:rFonts w:hint="eastAsia" w:ascii="宋体" w:hAnsi="宋体" w:cs="Times New Roman (正文 CS 字体)"/>
          <w:sz w:val="24"/>
        </w:rPr>
        <w:t xml:space="preserve">（</w:t>
      </w:r>
      <w:r>
        <w:rPr>
          <w:rFonts w:ascii="宋体" w:hAnsi="宋体" w:cs="Times New Roman (正文 CS 字体)"/>
          <w:sz w:val="24"/>
        </w:rPr>
        <w:t xml:space="preserve">3）业务数据库</w:t>
      </w:r>
      <w:r>
        <w:rPr>
          <w:rFonts w:hint="eastAsia" w:ascii="宋体" w:hAnsi="宋体" w:cs="Times New Roman (正文 CS 字体)"/>
          <w:sz w:val="24"/>
        </w:rPr>
        <w:t xml:space="preserve">链接</w:t>
      </w:r>
      <w:r>
        <w:rPr>
          <w:rFonts w:ascii="宋体" w:hAnsi="宋体" w:cs="Times New Roman (正文 CS 字体)"/>
          <w:sz w:val="24"/>
        </w:rPr>
        <w:t xml:space="preserve">信息在门户MD5加密存放，不会暴露在客户端中。</w:t>
      </w:r>
      <w:r/>
    </w:p>
    <w:p>
      <w:pPr>
        <w:ind w:firstLine="480"/>
        <w:spacing w:line="400" w:lineRule="exact"/>
        <w:rPr>
          <w:rFonts w:ascii="宋体" w:hAnsi="宋体" w:cs="Times New Roman (正文 CS 字体)"/>
          <w:sz w:val="24"/>
        </w:rPr>
      </w:pPr>
      <w:r>
        <w:rPr>
          <w:rFonts w:hint="eastAsia" w:ascii="宋体" w:hAnsi="宋体" w:cs="Times New Roman (正文 CS 字体)"/>
          <w:sz w:val="24"/>
        </w:rPr>
        <w:t xml:space="preserve">（</w:t>
      </w:r>
      <w:r>
        <w:rPr>
          <w:rFonts w:ascii="宋体" w:hAnsi="宋体" w:cs="Times New Roman (正文 CS 字体)"/>
          <w:sz w:val="24"/>
        </w:rPr>
        <w:t xml:space="preserve">4）</w:t>
      </w:r>
      <w:r>
        <w:rPr>
          <w:rFonts w:hint="eastAsia" w:ascii="宋体" w:hAnsi="宋体" w:cs="Times New Roman (正文 CS 字体)"/>
          <w:sz w:val="24"/>
        </w:rPr>
        <w:t xml:space="preserve">登录</w:t>
      </w:r>
      <w:r>
        <w:rPr>
          <w:rFonts w:ascii="宋体" w:hAnsi="宋体" w:cs="Times New Roman (正文 CS 字体)"/>
          <w:sz w:val="24"/>
        </w:rPr>
        <w:t xml:space="preserve">密码管理和用户信息管理。</w:t>
      </w:r>
      <w:r/>
    </w:p>
    <w:p>
      <w:pPr>
        <w:ind w:firstLine="480"/>
        <w:spacing w:line="400" w:lineRule="exact"/>
        <w:rPr>
          <w:rFonts w:ascii="宋体" w:hAnsi="宋体" w:cs="Times New Roman (正文 CS 字体)"/>
          <w:sz w:val="24"/>
        </w:rPr>
      </w:pPr>
      <w:r>
        <w:rPr>
          <w:rFonts w:hint="eastAsia" w:ascii="宋体" w:hAnsi="宋体" w:cs="Times New Roman (正文 CS 字体)"/>
          <w:sz w:val="24"/>
        </w:rPr>
        <w:t xml:space="preserve">（</w:t>
      </w:r>
      <w:r>
        <w:rPr>
          <w:rFonts w:ascii="宋体" w:hAnsi="宋体" w:cs="Times New Roman (正文 CS 字体)"/>
          <w:sz w:val="24"/>
        </w:rPr>
        <w:t xml:space="preserve">5）响应并满足系统具备强大的审计功能，对用户的登录、业务模块打开、操作按键、修改内容均可审计，审计信息将放到审计数据库中。</w:t>
      </w:r>
      <w:r/>
    </w:p>
    <w:p>
      <w:pPr>
        <w:ind w:firstLine="480"/>
        <w:spacing w:line="400" w:lineRule="exact"/>
        <w:rPr>
          <w:rFonts w:ascii="宋体" w:hAnsi="宋体" w:eastAsia="宋体" w:cs="宋体"/>
          <w:sz w:val="24"/>
        </w:rPr>
      </w:pPr>
      <w:r>
        <w:rPr>
          <w:rFonts w:hint="eastAsia" w:ascii="宋体" w:hAnsi="宋体" w:cs="Times New Roman (正文 CS 字体)"/>
          <w:sz w:val="24"/>
        </w:rPr>
        <w:t xml:space="preserve">（</w:t>
      </w:r>
      <w:r>
        <w:rPr>
          <w:rFonts w:ascii="宋体" w:hAnsi="宋体" w:cs="Times New Roman (正文 CS 字体)"/>
          <w:sz w:val="24"/>
        </w:rPr>
        <w:t xml:space="preserve">6）响应并满足系统具有自我核对功能，</w:t>
      </w:r>
      <w:r>
        <w:rPr>
          <w:rFonts w:ascii="宋体" w:hAnsi="宋体" w:cs="Times New Roman (正文 CS 字体)"/>
          <w:sz w:val="24"/>
        </w:rPr>
        <w:t xml:space="preserve">如记录</w:t>
      </w:r>
      <w:r>
        <w:rPr>
          <w:rFonts w:ascii="宋体" w:hAnsi="宋体" w:cs="Times New Roman (正文 CS 字体)"/>
          <w:sz w:val="24"/>
        </w:rPr>
        <w:t xml:space="preserve">相关业务操作所有的操作日志，通过推算及与业务操作的逐笔对比，迅速定位错误数据及错误单据</w:t>
      </w:r>
      <w:r>
        <w:rPr>
          <w:rFonts w:hint="eastAsia" w:ascii="宋体" w:hAnsi="宋体" w:cs="Times New Roman (正文 CS 字体)"/>
          <w:sz w:val="24"/>
        </w:rPr>
        <w:t xml:space="preserve">。</w:t>
      </w:r>
      <w:r/>
    </w:p>
    <w:p>
      <w:pPr>
        <w:ind w:firstLine="482"/>
        <w:spacing w:line="400" w:lineRule="exact"/>
        <w:rPr>
          <w:rFonts w:ascii="宋体" w:hAnsi="宋体" w:eastAsia="宋体" w:cs="宋体"/>
          <w:b/>
          <w:sz w:val="24"/>
        </w:rPr>
      </w:pPr>
      <w:r>
        <w:rPr>
          <w:rFonts w:hint="eastAsia" w:ascii="宋体" w:hAnsi="宋体" w:eastAsia="宋体" w:cs="宋体"/>
          <w:b/>
          <w:sz w:val="24"/>
        </w:rPr>
        <w:t xml:space="preserve">2.6、系统性能</w:t>
      </w:r>
      <w:r/>
    </w:p>
    <w:p>
      <w:pPr>
        <w:ind w:firstLine="480"/>
        <w:spacing w:line="400" w:lineRule="exact"/>
        <w:rPr>
          <w:rFonts w:ascii="宋体" w:hAnsi="宋体" w:cs="Times New Roman (正文 CS 字体)"/>
          <w:sz w:val="24"/>
        </w:rPr>
      </w:pPr>
      <w:r>
        <w:rPr>
          <w:rFonts w:hint="eastAsia" w:ascii="宋体" w:hAnsi="宋体" w:cs="Times New Roman (正文 CS 字体)"/>
          <w:sz w:val="24"/>
        </w:rPr>
        <w:t xml:space="preserve">系统应充分考虑医院程序大业务量环境中运行的效率，防止死锁和并发操作。</w:t>
      </w:r>
      <w:r/>
    </w:p>
    <w:p>
      <w:pPr>
        <w:ind w:firstLine="480"/>
        <w:spacing w:line="400" w:lineRule="exact"/>
        <w:rPr>
          <w:rFonts w:ascii="宋体" w:hAnsi="宋体" w:cs="Times New Roman (正文 CS 字体)"/>
          <w:sz w:val="24"/>
        </w:rPr>
      </w:pPr>
      <w:r>
        <w:rPr>
          <w:rFonts w:hint="eastAsia" w:ascii="宋体" w:hAnsi="宋体" w:cs="Times New Roman (正文 CS 字体)"/>
          <w:sz w:val="24"/>
        </w:rPr>
        <w:t xml:space="preserve">系统应支持自动任务管理，可以把比较大的，实时性不强的业务放到晚上执行，整个过程无须人工干涉，以合理分配医院服务器的资源，提高医院服务器的利用率。</w:t>
      </w:r>
      <w:r/>
    </w:p>
    <w:p>
      <w:pPr>
        <w:ind w:firstLine="482"/>
        <w:spacing w:line="400" w:lineRule="exact"/>
        <w:rPr>
          <w:rFonts w:ascii="宋体" w:hAnsi="宋体" w:eastAsia="宋体" w:cs="宋体"/>
          <w:b/>
          <w:sz w:val="24"/>
        </w:rPr>
      </w:pPr>
      <w:r>
        <w:rPr>
          <w:rFonts w:hint="eastAsia" w:ascii="宋体" w:hAnsi="宋体" w:eastAsia="宋体" w:cs="宋体"/>
          <w:b/>
          <w:sz w:val="24"/>
        </w:rPr>
        <w:t xml:space="preserve">2.7、维护要求</w:t>
      </w:r>
      <w:r/>
    </w:p>
    <w:p>
      <w:pPr>
        <w:ind w:firstLine="480"/>
        <w:spacing w:line="400" w:lineRule="exact"/>
        <w:rPr>
          <w:rFonts w:ascii="宋体" w:hAnsi="宋体" w:cs="Times New Roman (正文 CS 字体)"/>
          <w:sz w:val="24"/>
        </w:rPr>
      </w:pPr>
      <w:r>
        <w:rPr>
          <w:rFonts w:hint="eastAsia" w:ascii="宋体" w:hAnsi="宋体" w:cs="Times New Roman (正文 CS 字体)"/>
          <w:sz w:val="24"/>
        </w:rPr>
        <w:t xml:space="preserve">（</w:t>
      </w:r>
      <w:r>
        <w:rPr>
          <w:rFonts w:ascii="宋体" w:hAnsi="宋体" w:cs="Times New Roman (正文 CS 字体)"/>
          <w:sz w:val="24"/>
        </w:rPr>
        <w:t xml:space="preserve">1）系统参数维护应具有非编程的可定制的系统参数维护和自动生成系统参数</w:t>
      </w:r>
      <w:r/>
    </w:p>
    <w:p>
      <w:pPr>
        <w:ind w:firstLine="480"/>
        <w:spacing w:line="400" w:lineRule="exact"/>
        <w:rPr>
          <w:rFonts w:ascii="宋体" w:hAnsi="宋体" w:cs="Times New Roman (正文 CS 字体)"/>
          <w:sz w:val="24"/>
        </w:rPr>
      </w:pPr>
      <w:r>
        <w:rPr>
          <w:rFonts w:hint="eastAsia" w:ascii="宋体" w:hAnsi="宋体" w:cs="Times New Roman (正文 CS 字体)"/>
          <w:sz w:val="24"/>
        </w:rPr>
        <w:t xml:space="preserve">（</w:t>
      </w:r>
      <w:r>
        <w:rPr>
          <w:rFonts w:ascii="宋体" w:hAnsi="宋体" w:cs="Times New Roman (正文 CS 字体)"/>
          <w:sz w:val="24"/>
        </w:rPr>
        <w:t xml:space="preserve">2）系统应</w:t>
      </w:r>
      <w:r>
        <w:rPr>
          <w:rFonts w:hint="eastAsia" w:ascii="宋体" w:hAnsi="宋体" w:cs="Times New Roman (正文 CS 字体)"/>
          <w:sz w:val="24"/>
        </w:rPr>
        <w:t xml:space="preserve">支持</w:t>
      </w:r>
      <w:r>
        <w:rPr>
          <w:rFonts w:ascii="宋体" w:hAnsi="宋体" w:cs="Times New Roman (正文 CS 字体)"/>
          <w:sz w:val="24"/>
        </w:rPr>
        <w:t xml:space="preserve">多版本管理、历史版本回滚、文件压缩更新、智能角色更新。</w:t>
      </w:r>
      <w:r/>
    </w:p>
    <w:p>
      <w:pPr>
        <w:ind w:firstLine="480"/>
        <w:spacing w:line="400" w:lineRule="exact"/>
        <w:rPr>
          <w:rFonts w:ascii="宋体" w:hAnsi="宋体" w:cs="Times New Roman (正文 CS 字体)"/>
          <w:sz w:val="24"/>
        </w:rPr>
      </w:pPr>
      <w:r>
        <w:rPr>
          <w:rFonts w:hint="eastAsia" w:ascii="宋体" w:hAnsi="宋体" w:cs="Times New Roman (正文 CS 字体)"/>
          <w:sz w:val="24"/>
        </w:rPr>
        <w:t xml:space="preserve">（</w:t>
      </w:r>
      <w:r>
        <w:rPr>
          <w:rFonts w:ascii="宋体" w:hAnsi="宋体" w:cs="Times New Roman (正文 CS 字体)"/>
          <w:sz w:val="24"/>
        </w:rPr>
        <w:t xml:space="preserve">3）系统应支持提供远程桌面维护，减轻管理员维护工作强度。</w:t>
      </w:r>
      <w:r/>
    </w:p>
    <w:p>
      <w:pPr>
        <w:ind w:firstLine="480"/>
        <w:spacing w:line="400" w:lineRule="exact"/>
        <w:rPr>
          <w:rFonts w:ascii="宋体" w:hAnsi="宋体" w:cs="Times New Roman (正文 CS 字体)"/>
          <w:sz w:val="24"/>
        </w:rPr>
      </w:pPr>
      <w:r>
        <w:rPr>
          <w:rFonts w:hint="eastAsia" w:ascii="宋体" w:hAnsi="宋体" w:cs="Times New Roman (正文 CS 字体)"/>
          <w:sz w:val="24"/>
        </w:rPr>
        <w:t xml:space="preserve">（</w:t>
      </w:r>
      <w:r>
        <w:rPr>
          <w:rFonts w:ascii="宋体" w:hAnsi="宋体" w:cs="Times New Roman (正文 CS 字体)"/>
          <w:sz w:val="24"/>
        </w:rPr>
        <w:t xml:space="preserve">4）程序界面调整应</w:t>
      </w:r>
      <w:r>
        <w:rPr>
          <w:rFonts w:ascii="宋体" w:hAnsi="宋体" w:cs="Times New Roman (正文 CS 字体)"/>
          <w:sz w:val="24"/>
        </w:rPr>
        <w:t xml:space="preserve">支持自</w:t>
      </w:r>
      <w:r>
        <w:rPr>
          <w:rFonts w:ascii="宋体" w:hAnsi="宋体" w:cs="Times New Roman (正文 CS 字体)"/>
          <w:sz w:val="24"/>
        </w:rPr>
        <w:t xml:space="preserve">适应分辨率、各应用模块界面美化处理，风格统一、打印浏览支持EXCEL数据与格式导出。</w:t>
      </w:r>
      <w:r/>
    </w:p>
    <w:p>
      <w:pPr>
        <w:spacing w:line="360" w:lineRule="auto"/>
        <w:rPr>
          <w:rFonts w:ascii="楷体_GB2312" w:hAnsi="Times New Roman" w:eastAsia="楷体_GB2312" w:cs="Times New Roman"/>
          <w:bCs/>
          <w:sz w:val="28"/>
          <w:szCs w:val="24"/>
        </w:rPr>
      </w:pPr>
      <w:r>
        <w:rPr>
          <w:rFonts w:ascii="楷体_GB2312" w:hAnsi="Times New Roman" w:eastAsia="楷体_GB2312" w:cs="Times New Roman"/>
          <w:bCs/>
          <w:sz w:val="28"/>
          <w:szCs w:val="24"/>
        </w:rPr>
      </w:r>
      <w:r/>
    </w:p>
    <w:p>
      <w:pPr>
        <w:jc w:val="left"/>
        <w:spacing w:line="400" w:lineRule="exact"/>
        <w:widowControl/>
        <w:rPr>
          <w:rFonts w:ascii="黑体" w:hAnsi="黑体" w:eastAsia="黑体" w:cs="宋体"/>
          <w:sz w:val="28"/>
          <w:szCs w:val="28"/>
        </w:rPr>
        <w:outlineLvl w:val="1"/>
      </w:pPr>
      <w:r>
        <w:rPr>
          <w:rFonts w:hint="eastAsia" w:ascii="黑体" w:hAnsi="黑体" w:eastAsia="黑体" w:cs="宋体"/>
          <w:sz w:val="28"/>
          <w:szCs w:val="28"/>
        </w:rPr>
        <w:t xml:space="preserve">三、建设清单：</w:t>
      </w:r>
      <w:r/>
    </w:p>
    <w:tbl>
      <w:tblPr>
        <w:tblW w:w="5000" w:type="pct"/>
        <w:jc w:val="center"/>
        <w:tblLook w:val="04A0" w:firstRow="1" w:lastRow="0" w:firstColumn="1" w:lastColumn="0" w:noHBand="0" w:noVBand="1"/>
      </w:tblPr>
      <w:tblGrid>
        <w:gridCol w:w="2004"/>
        <w:gridCol w:w="2618"/>
        <w:gridCol w:w="5006"/>
      </w:tblGrid>
      <w:tr>
        <w:trPr>
          <w:jc w:val="center"/>
          <w:trHeight w:val="23"/>
        </w:trPr>
        <w:tc>
          <w:tcPr>
            <w:shd w:val="clear" w:color="auto" w:fill="auto"/>
            <w:tcBorders>
              <w:top w:val="single" w:color="000000" w:sz="8" w:space="0"/>
              <w:left w:val="single" w:color="000000" w:sz="8" w:space="0"/>
              <w:bottom w:val="single" w:color="000000" w:sz="8" w:space="0"/>
              <w:right w:val="single" w:color="000000" w:sz="8" w:space="0"/>
            </w:tcBorders>
            <w:tcW w:w="1711"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W w:w="2234"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分类</w:t>
            </w:r>
            <w:r/>
          </w:p>
        </w:tc>
        <w:tc>
          <w:tcPr>
            <w:shd w:val="clear" w:color="auto" w:fill="auto"/>
            <w:tcBorders>
              <w:top w:val="single" w:color="000000" w:sz="8" w:space="0"/>
              <w:left w:val="none" w:color="000000" w:sz="4" w:space="0"/>
              <w:bottom w:val="single" w:color="000000" w:sz="8" w:space="0"/>
              <w:right w:val="single" w:color="000000" w:sz="8" w:space="0"/>
            </w:tcBorders>
            <w:tcW w:w="4272"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系统</w:t>
            </w:r>
            <w:r/>
          </w:p>
        </w:tc>
      </w:tr>
      <w:tr>
        <w:trPr>
          <w:jc w:val="center"/>
          <w:trHeight w:val="23"/>
        </w:trPr>
        <w:tc>
          <w:tcPr>
            <w:shd w:val="clear" w:color="auto" w:fill="auto"/>
            <w:tcBorders>
              <w:top w:val="none" w:color="000000" w:sz="4" w:space="0"/>
              <w:left w:val="single" w:color="000000" w:sz="8" w:space="0"/>
              <w:bottom w:val="single" w:color="000000" w:sz="8" w:space="0"/>
              <w:right w:val="single" w:color="000000" w:sz="8" w:space="0"/>
            </w:tcBorders>
            <w:tcW w:w="1711"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2234" w:type="dxa"/>
            <w:vAlign w:val="center"/>
            <w:vMerge w:val="restart"/>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基础业务管理</w:t>
            </w:r>
            <w:r/>
          </w:p>
        </w:tc>
        <w:tc>
          <w:tcPr>
            <w:shd w:val="clear" w:color="auto" w:fill="auto"/>
            <w:tcBorders>
              <w:top w:val="none" w:color="000000" w:sz="4" w:space="0"/>
              <w:left w:val="none" w:color="000000" w:sz="4" w:space="0"/>
              <w:bottom w:val="single" w:color="000000" w:sz="8" w:space="0"/>
              <w:right w:val="single" w:color="000000" w:sz="8" w:space="0"/>
            </w:tcBorders>
            <w:tcW w:w="4272"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管理员维护系统</w:t>
            </w:r>
            <w:r/>
          </w:p>
        </w:tc>
      </w:tr>
      <w:tr>
        <w:trPr>
          <w:jc w:val="center"/>
          <w:trHeight w:val="23"/>
        </w:trPr>
        <w:tc>
          <w:tcPr>
            <w:shd w:val="clear" w:color="auto" w:fill="auto"/>
            <w:tcBorders>
              <w:top w:val="none" w:color="000000" w:sz="4" w:space="0"/>
              <w:left w:val="single" w:color="000000" w:sz="8" w:space="0"/>
              <w:bottom w:val="single" w:color="000000" w:sz="8" w:space="0"/>
              <w:right w:val="single" w:color="000000" w:sz="8" w:space="0"/>
            </w:tcBorders>
            <w:tcW w:w="1711"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2234"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4272"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西药库信息系统</w:t>
            </w:r>
            <w:r/>
          </w:p>
        </w:tc>
      </w:tr>
      <w:tr>
        <w:trPr>
          <w:jc w:val="center"/>
          <w:trHeight w:val="23"/>
        </w:trPr>
        <w:tc>
          <w:tcPr>
            <w:shd w:val="clear" w:color="auto" w:fill="auto"/>
            <w:tcBorders>
              <w:top w:val="none" w:color="000000" w:sz="4" w:space="0"/>
              <w:left w:val="single" w:color="000000" w:sz="8" w:space="0"/>
              <w:bottom w:val="single" w:color="000000" w:sz="8" w:space="0"/>
              <w:right w:val="single" w:color="000000" w:sz="8" w:space="0"/>
            </w:tcBorders>
            <w:tcW w:w="1711"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2234"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4272"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中药库信息系统</w:t>
            </w:r>
            <w:r/>
          </w:p>
        </w:tc>
      </w:tr>
      <w:tr>
        <w:trPr>
          <w:jc w:val="center"/>
          <w:trHeight w:val="23"/>
        </w:trPr>
        <w:tc>
          <w:tcPr>
            <w:shd w:val="clear" w:color="auto" w:fill="auto"/>
            <w:tcBorders>
              <w:top w:val="none" w:color="000000" w:sz="4" w:space="0"/>
              <w:left w:val="single" w:color="000000" w:sz="8" w:space="0"/>
              <w:bottom w:val="single" w:color="000000" w:sz="8" w:space="0"/>
              <w:right w:val="single" w:color="000000" w:sz="8" w:space="0"/>
            </w:tcBorders>
            <w:tcW w:w="1711"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2234"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4272"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门诊西药房信息系统</w:t>
            </w:r>
            <w:r/>
          </w:p>
        </w:tc>
      </w:tr>
      <w:tr>
        <w:trPr>
          <w:jc w:val="center"/>
          <w:trHeight w:val="23"/>
        </w:trPr>
        <w:tc>
          <w:tcPr>
            <w:shd w:val="clear" w:color="auto" w:fill="auto"/>
            <w:tcBorders>
              <w:top w:val="none" w:color="000000" w:sz="4" w:space="0"/>
              <w:left w:val="single" w:color="000000" w:sz="8" w:space="0"/>
              <w:bottom w:val="single" w:color="000000" w:sz="8" w:space="0"/>
              <w:right w:val="single" w:color="000000" w:sz="8" w:space="0"/>
            </w:tcBorders>
            <w:tcW w:w="1711"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2234"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4272"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门诊中药房信息系统</w:t>
            </w:r>
            <w:r/>
          </w:p>
        </w:tc>
      </w:tr>
      <w:tr>
        <w:trPr>
          <w:jc w:val="center"/>
          <w:trHeight w:val="23"/>
        </w:trPr>
        <w:tc>
          <w:tcPr>
            <w:shd w:val="clear" w:color="auto" w:fill="auto"/>
            <w:tcBorders>
              <w:top w:val="none" w:color="000000" w:sz="4" w:space="0"/>
              <w:left w:val="single" w:color="000000" w:sz="8" w:space="0"/>
              <w:bottom w:val="single" w:color="000000" w:sz="8" w:space="0"/>
              <w:right w:val="single" w:color="000000" w:sz="8" w:space="0"/>
            </w:tcBorders>
            <w:tcW w:w="1711"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2234"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4272"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门诊收费信息系统</w:t>
            </w:r>
            <w:r/>
          </w:p>
        </w:tc>
      </w:tr>
      <w:tr>
        <w:trPr>
          <w:jc w:val="center"/>
          <w:trHeight w:val="23"/>
        </w:trPr>
        <w:tc>
          <w:tcPr>
            <w:shd w:val="clear" w:color="auto" w:fill="auto"/>
            <w:tcBorders>
              <w:top w:val="none" w:color="000000" w:sz="4" w:space="0"/>
              <w:left w:val="single" w:color="000000" w:sz="8" w:space="0"/>
              <w:bottom w:val="single" w:color="000000" w:sz="8" w:space="0"/>
              <w:right w:val="single" w:color="000000" w:sz="8" w:space="0"/>
            </w:tcBorders>
            <w:tcW w:w="1711"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7</w:t>
            </w:r>
            <w:r/>
          </w:p>
        </w:tc>
        <w:tc>
          <w:tcPr>
            <w:shd w:val="clear" w:color="auto" w:fill="auto"/>
            <w:tcBorders>
              <w:top w:val="none" w:color="000000" w:sz="4" w:space="0"/>
              <w:left w:val="none" w:color="000000" w:sz="4" w:space="0"/>
              <w:bottom w:val="single" w:color="000000" w:sz="8" w:space="0"/>
              <w:right w:val="single" w:color="000000" w:sz="8" w:space="0"/>
            </w:tcBorders>
            <w:tcW w:w="2234"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4272"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住院结算信息系统</w:t>
            </w:r>
            <w:r/>
          </w:p>
        </w:tc>
      </w:tr>
      <w:tr>
        <w:trPr>
          <w:jc w:val="center"/>
          <w:trHeight w:val="23"/>
        </w:trPr>
        <w:tc>
          <w:tcPr>
            <w:shd w:val="clear" w:color="auto" w:fill="auto"/>
            <w:tcBorders>
              <w:top w:val="none" w:color="000000" w:sz="4" w:space="0"/>
              <w:left w:val="single" w:color="000000" w:sz="8" w:space="0"/>
              <w:bottom w:val="single" w:color="000000" w:sz="8" w:space="0"/>
              <w:right w:val="single" w:color="000000" w:sz="8" w:space="0"/>
            </w:tcBorders>
            <w:tcW w:w="1711"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8</w:t>
            </w:r>
            <w:r/>
          </w:p>
        </w:tc>
        <w:tc>
          <w:tcPr>
            <w:shd w:val="clear" w:color="auto" w:fill="auto"/>
            <w:tcBorders>
              <w:top w:val="none" w:color="000000" w:sz="4" w:space="0"/>
              <w:left w:val="none" w:color="000000" w:sz="4" w:space="0"/>
              <w:bottom w:val="single" w:color="000000" w:sz="8" w:space="0"/>
              <w:right w:val="single" w:color="000000" w:sz="8" w:space="0"/>
            </w:tcBorders>
            <w:tcW w:w="2234"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4272"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日间手术管理系统</w:t>
            </w:r>
            <w:r/>
          </w:p>
        </w:tc>
      </w:tr>
      <w:tr>
        <w:trPr>
          <w:jc w:val="center"/>
          <w:trHeight w:val="23"/>
        </w:trPr>
        <w:tc>
          <w:tcPr>
            <w:shd w:val="clear" w:color="auto" w:fill="auto"/>
            <w:tcBorders>
              <w:top w:val="none" w:color="000000" w:sz="4" w:space="0"/>
              <w:left w:val="single" w:color="000000" w:sz="8" w:space="0"/>
              <w:bottom w:val="single" w:color="000000" w:sz="8" w:space="0"/>
              <w:right w:val="single" w:color="000000" w:sz="8" w:space="0"/>
            </w:tcBorders>
            <w:tcW w:w="1711"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9</w:t>
            </w:r>
            <w:r/>
          </w:p>
        </w:tc>
        <w:tc>
          <w:tcPr>
            <w:shd w:val="clear" w:color="auto" w:fill="auto"/>
            <w:tcBorders>
              <w:top w:val="none" w:color="000000" w:sz="4" w:space="0"/>
              <w:left w:val="none" w:color="000000" w:sz="4" w:space="0"/>
              <w:bottom w:val="single" w:color="000000" w:sz="8" w:space="0"/>
              <w:right w:val="single" w:color="000000" w:sz="8" w:space="0"/>
            </w:tcBorders>
            <w:tcW w:w="2234"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4272"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病区药房信息系统</w:t>
            </w:r>
            <w:r/>
          </w:p>
        </w:tc>
      </w:tr>
      <w:tr>
        <w:trPr>
          <w:jc w:val="center"/>
          <w:trHeight w:val="23"/>
        </w:trPr>
        <w:tc>
          <w:tcPr>
            <w:shd w:val="clear" w:color="auto" w:fill="auto"/>
            <w:tcBorders>
              <w:top w:val="none" w:color="000000" w:sz="4" w:space="0"/>
              <w:left w:val="single" w:color="000000" w:sz="8" w:space="0"/>
              <w:bottom w:val="single" w:color="000000" w:sz="8" w:space="0"/>
              <w:right w:val="single" w:color="000000" w:sz="8" w:space="0"/>
            </w:tcBorders>
            <w:tcW w:w="1711"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10</w:t>
            </w:r>
            <w:r/>
          </w:p>
        </w:tc>
        <w:tc>
          <w:tcPr>
            <w:shd w:val="clear" w:color="auto" w:fill="auto"/>
            <w:tcBorders>
              <w:top w:val="none" w:color="000000" w:sz="4" w:space="0"/>
              <w:left w:val="none" w:color="000000" w:sz="4" w:space="0"/>
              <w:bottom w:val="single" w:color="000000" w:sz="8" w:space="0"/>
              <w:right w:val="single" w:color="000000" w:sz="8" w:space="0"/>
            </w:tcBorders>
            <w:tcW w:w="2234"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4272"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门诊医生工作站</w:t>
            </w:r>
            <w:r/>
          </w:p>
        </w:tc>
      </w:tr>
      <w:tr>
        <w:trPr>
          <w:jc w:val="center"/>
          <w:trHeight w:val="23"/>
        </w:trPr>
        <w:tc>
          <w:tcPr>
            <w:shd w:val="clear" w:color="auto" w:fill="auto"/>
            <w:tcBorders>
              <w:top w:val="none" w:color="000000" w:sz="4" w:space="0"/>
              <w:left w:val="single" w:color="000000" w:sz="8" w:space="0"/>
              <w:bottom w:val="single" w:color="000000" w:sz="8" w:space="0"/>
              <w:right w:val="single" w:color="000000" w:sz="8" w:space="0"/>
            </w:tcBorders>
            <w:tcW w:w="1711"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11</w:t>
            </w:r>
            <w:r/>
          </w:p>
        </w:tc>
        <w:tc>
          <w:tcPr>
            <w:shd w:val="clear" w:color="auto" w:fill="auto"/>
            <w:tcBorders>
              <w:top w:val="none" w:color="000000" w:sz="4" w:space="0"/>
              <w:left w:val="none" w:color="000000" w:sz="4" w:space="0"/>
              <w:bottom w:val="single" w:color="000000" w:sz="8" w:space="0"/>
              <w:right w:val="single" w:color="000000" w:sz="8" w:space="0"/>
            </w:tcBorders>
            <w:tcW w:w="2234"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4272"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处方点评系统</w:t>
            </w:r>
            <w:r/>
          </w:p>
        </w:tc>
      </w:tr>
      <w:tr>
        <w:trPr>
          <w:jc w:val="center"/>
          <w:trHeight w:val="23"/>
        </w:trPr>
        <w:tc>
          <w:tcPr>
            <w:shd w:val="clear" w:color="auto" w:fill="auto"/>
            <w:tcBorders>
              <w:top w:val="none" w:color="000000" w:sz="4" w:space="0"/>
              <w:left w:val="single" w:color="000000" w:sz="8" w:space="0"/>
              <w:bottom w:val="single" w:color="000000" w:sz="8" w:space="0"/>
              <w:right w:val="single" w:color="000000" w:sz="8" w:space="0"/>
            </w:tcBorders>
            <w:tcW w:w="1711"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12</w:t>
            </w:r>
            <w:r/>
          </w:p>
        </w:tc>
        <w:tc>
          <w:tcPr>
            <w:shd w:val="clear" w:color="auto" w:fill="auto"/>
            <w:tcBorders>
              <w:top w:val="none" w:color="000000" w:sz="4" w:space="0"/>
              <w:left w:val="none" w:color="000000" w:sz="4" w:space="0"/>
              <w:bottom w:val="single" w:color="000000" w:sz="8" w:space="0"/>
              <w:right w:val="single" w:color="000000" w:sz="8" w:space="0"/>
            </w:tcBorders>
            <w:tcW w:w="2234"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4272"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皮试系统</w:t>
            </w:r>
            <w:r/>
          </w:p>
        </w:tc>
      </w:tr>
      <w:tr>
        <w:trPr>
          <w:jc w:val="center"/>
          <w:trHeight w:val="23"/>
        </w:trPr>
        <w:tc>
          <w:tcPr>
            <w:shd w:val="clear" w:color="auto" w:fill="auto"/>
            <w:tcBorders>
              <w:top w:val="none" w:color="000000" w:sz="4" w:space="0"/>
              <w:left w:val="single" w:color="000000" w:sz="8" w:space="0"/>
              <w:bottom w:val="single" w:color="000000" w:sz="8" w:space="0"/>
              <w:right w:val="single" w:color="000000" w:sz="8" w:space="0"/>
            </w:tcBorders>
            <w:tcW w:w="1711"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13</w:t>
            </w:r>
            <w:r/>
          </w:p>
        </w:tc>
        <w:tc>
          <w:tcPr>
            <w:shd w:val="clear" w:color="auto" w:fill="auto"/>
            <w:tcBorders>
              <w:top w:val="none" w:color="000000" w:sz="4" w:space="0"/>
              <w:left w:val="none" w:color="000000" w:sz="4" w:space="0"/>
              <w:bottom w:val="single" w:color="000000" w:sz="8" w:space="0"/>
              <w:right w:val="single" w:color="000000" w:sz="8" w:space="0"/>
            </w:tcBorders>
            <w:tcW w:w="2234"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4272"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输液系统</w:t>
            </w:r>
            <w:r/>
          </w:p>
        </w:tc>
      </w:tr>
      <w:tr>
        <w:trPr>
          <w:jc w:val="center"/>
          <w:trHeight w:val="23"/>
        </w:trPr>
        <w:tc>
          <w:tcPr>
            <w:shd w:val="clear" w:color="auto" w:fill="auto"/>
            <w:tcBorders>
              <w:top w:val="none" w:color="000000" w:sz="4" w:space="0"/>
              <w:left w:val="single" w:color="000000" w:sz="8" w:space="0"/>
              <w:bottom w:val="single" w:color="000000" w:sz="8" w:space="0"/>
              <w:right w:val="single" w:color="000000" w:sz="8" w:space="0"/>
            </w:tcBorders>
            <w:tcW w:w="1711"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14</w:t>
            </w:r>
            <w:r/>
          </w:p>
        </w:tc>
        <w:tc>
          <w:tcPr>
            <w:shd w:val="clear" w:color="auto" w:fill="auto"/>
            <w:tcBorders>
              <w:top w:val="none" w:color="000000" w:sz="4" w:space="0"/>
              <w:left w:val="none" w:color="000000" w:sz="4" w:space="0"/>
              <w:bottom w:val="single" w:color="000000" w:sz="8" w:space="0"/>
              <w:right w:val="single" w:color="000000" w:sz="8" w:space="0"/>
            </w:tcBorders>
            <w:tcW w:w="2234"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4272"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挂号预约管理系统</w:t>
            </w:r>
            <w:r/>
          </w:p>
        </w:tc>
      </w:tr>
      <w:tr>
        <w:trPr>
          <w:jc w:val="center"/>
          <w:trHeight w:val="23"/>
        </w:trPr>
        <w:tc>
          <w:tcPr>
            <w:shd w:val="clear" w:color="auto" w:fill="auto"/>
            <w:tcBorders>
              <w:top w:val="none" w:color="000000" w:sz="4" w:space="0"/>
              <w:left w:val="single" w:color="000000" w:sz="8" w:space="0"/>
              <w:bottom w:val="single" w:color="000000" w:sz="8" w:space="0"/>
              <w:right w:val="single" w:color="000000" w:sz="8" w:space="0"/>
            </w:tcBorders>
            <w:tcW w:w="1711"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15</w:t>
            </w:r>
            <w:r/>
          </w:p>
        </w:tc>
        <w:tc>
          <w:tcPr>
            <w:shd w:val="clear" w:color="auto" w:fill="auto"/>
            <w:tcBorders>
              <w:top w:val="none" w:color="000000" w:sz="4" w:space="0"/>
              <w:left w:val="none" w:color="000000" w:sz="4" w:space="0"/>
              <w:bottom w:val="single" w:color="000000" w:sz="8" w:space="0"/>
              <w:right w:val="single" w:color="000000" w:sz="8" w:space="0"/>
            </w:tcBorders>
            <w:tcW w:w="2234"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4272"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门诊电子病历系统</w:t>
            </w:r>
            <w:r/>
          </w:p>
        </w:tc>
      </w:tr>
      <w:tr>
        <w:trPr>
          <w:jc w:val="center"/>
          <w:trHeight w:val="23"/>
        </w:trPr>
        <w:tc>
          <w:tcPr>
            <w:shd w:val="clear" w:color="auto" w:fill="auto"/>
            <w:tcBorders>
              <w:top w:val="none" w:color="000000" w:sz="4" w:space="0"/>
              <w:left w:val="single" w:color="000000" w:sz="8" w:space="0"/>
              <w:bottom w:val="single" w:color="000000" w:sz="8" w:space="0"/>
              <w:right w:val="single" w:color="000000" w:sz="8" w:space="0"/>
            </w:tcBorders>
            <w:tcW w:w="1711"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16</w:t>
            </w:r>
            <w:r/>
          </w:p>
        </w:tc>
        <w:tc>
          <w:tcPr>
            <w:shd w:val="clear" w:color="auto" w:fill="auto"/>
            <w:tcBorders>
              <w:top w:val="none" w:color="000000" w:sz="4" w:space="0"/>
              <w:left w:val="none" w:color="000000" w:sz="4" w:space="0"/>
              <w:bottom w:val="single" w:color="000000" w:sz="8" w:space="0"/>
              <w:right w:val="single" w:color="000000" w:sz="8" w:space="0"/>
            </w:tcBorders>
            <w:tcW w:w="2234" w:type="dxa"/>
            <w:vAlign w:val="center"/>
            <w:vMerge w:val="restart"/>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医技、后勤、治疗等系统</w:t>
            </w:r>
            <w:r/>
          </w:p>
        </w:tc>
        <w:tc>
          <w:tcPr>
            <w:shd w:val="clear" w:color="auto" w:fill="auto"/>
            <w:tcBorders>
              <w:top w:val="none" w:color="000000" w:sz="4" w:space="0"/>
              <w:left w:val="none" w:color="000000" w:sz="4" w:space="0"/>
              <w:bottom w:val="single" w:color="000000" w:sz="8" w:space="0"/>
              <w:right w:val="single" w:color="000000" w:sz="8" w:space="0"/>
            </w:tcBorders>
            <w:tcW w:w="4272"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医技科室信息系统</w:t>
            </w:r>
            <w:r/>
          </w:p>
        </w:tc>
      </w:tr>
      <w:tr>
        <w:trPr>
          <w:jc w:val="center"/>
          <w:trHeight w:val="23"/>
        </w:trPr>
        <w:tc>
          <w:tcPr>
            <w:shd w:val="clear" w:color="auto" w:fill="auto"/>
            <w:tcBorders>
              <w:top w:val="none" w:color="000000" w:sz="4" w:space="0"/>
              <w:left w:val="single" w:color="000000" w:sz="8" w:space="0"/>
              <w:bottom w:val="single" w:color="000000" w:sz="8" w:space="0"/>
              <w:right w:val="single" w:color="000000" w:sz="8" w:space="0"/>
            </w:tcBorders>
            <w:tcW w:w="1711"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17</w:t>
            </w:r>
            <w:r/>
          </w:p>
        </w:tc>
        <w:tc>
          <w:tcPr>
            <w:shd w:val="clear" w:color="auto" w:fill="auto"/>
            <w:tcBorders>
              <w:top w:val="none" w:color="000000" w:sz="4" w:space="0"/>
              <w:left w:val="none" w:color="000000" w:sz="4" w:space="0"/>
              <w:bottom w:val="single" w:color="000000" w:sz="8" w:space="0"/>
              <w:right w:val="single" w:color="000000" w:sz="8" w:space="0"/>
            </w:tcBorders>
            <w:tcW w:w="2234"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4272"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疾病监测管理平台</w:t>
            </w:r>
            <w:r/>
          </w:p>
        </w:tc>
      </w:tr>
      <w:tr>
        <w:trPr>
          <w:jc w:val="center"/>
          <w:trHeight w:val="23"/>
        </w:trPr>
        <w:tc>
          <w:tcPr>
            <w:shd w:val="clear" w:color="auto" w:fill="auto"/>
            <w:tcBorders>
              <w:top w:val="none" w:color="000000" w:sz="4" w:space="0"/>
              <w:left w:val="single" w:color="000000" w:sz="8" w:space="0"/>
              <w:bottom w:val="single" w:color="000000" w:sz="8" w:space="0"/>
              <w:right w:val="single" w:color="000000" w:sz="8" w:space="0"/>
            </w:tcBorders>
            <w:tcW w:w="1711"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18</w:t>
            </w:r>
            <w:r/>
          </w:p>
        </w:tc>
        <w:tc>
          <w:tcPr>
            <w:shd w:val="clear" w:color="auto" w:fill="auto"/>
            <w:tcBorders>
              <w:top w:val="none" w:color="000000" w:sz="4" w:space="0"/>
              <w:left w:val="none" w:color="000000" w:sz="4" w:space="0"/>
              <w:bottom w:val="single" w:color="000000" w:sz="8" w:space="0"/>
              <w:right w:val="single" w:color="000000" w:sz="8" w:space="0"/>
            </w:tcBorders>
            <w:tcW w:w="2234"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4272"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卫生平台接口管理系统</w:t>
            </w:r>
            <w:r/>
          </w:p>
        </w:tc>
      </w:tr>
      <w:tr>
        <w:trPr>
          <w:jc w:val="center"/>
          <w:trHeight w:val="23"/>
        </w:trPr>
        <w:tc>
          <w:tcPr>
            <w:shd w:val="clear" w:color="auto" w:fill="auto"/>
            <w:tcBorders>
              <w:top w:val="none" w:color="000000" w:sz="4" w:space="0"/>
              <w:left w:val="single" w:color="000000" w:sz="8" w:space="0"/>
              <w:bottom w:val="single" w:color="000000" w:sz="8" w:space="0"/>
              <w:right w:val="single" w:color="000000" w:sz="8" w:space="0"/>
            </w:tcBorders>
            <w:tcW w:w="1711"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19</w:t>
            </w:r>
            <w:r/>
          </w:p>
        </w:tc>
        <w:tc>
          <w:tcPr>
            <w:shd w:val="clear" w:color="auto" w:fill="auto"/>
            <w:tcBorders>
              <w:top w:val="none" w:color="000000" w:sz="4" w:space="0"/>
              <w:left w:val="none" w:color="000000" w:sz="4" w:space="0"/>
              <w:bottom w:val="single" w:color="000000" w:sz="8" w:space="0"/>
              <w:right w:val="single" w:color="000000" w:sz="8" w:space="0"/>
            </w:tcBorders>
            <w:tcW w:w="2234"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4272"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自定义报表系统</w:t>
            </w:r>
            <w:r/>
          </w:p>
        </w:tc>
      </w:tr>
      <w:tr>
        <w:trPr>
          <w:jc w:val="center"/>
          <w:trHeight w:val="23"/>
        </w:trPr>
        <w:tc>
          <w:tcPr>
            <w:shd w:val="clear" w:color="auto" w:fill="auto"/>
            <w:tcBorders>
              <w:top w:val="none" w:color="000000" w:sz="4" w:space="0"/>
              <w:left w:val="single" w:color="000000" w:sz="8" w:space="0"/>
              <w:bottom w:val="single" w:color="000000" w:sz="8" w:space="0"/>
              <w:right w:val="single" w:color="000000" w:sz="8" w:space="0"/>
            </w:tcBorders>
            <w:tcW w:w="1711"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20</w:t>
            </w:r>
            <w:r/>
          </w:p>
        </w:tc>
        <w:tc>
          <w:tcPr>
            <w:shd w:val="clear" w:color="auto" w:fill="auto"/>
            <w:tcBorders>
              <w:top w:val="none" w:color="000000" w:sz="4" w:space="0"/>
              <w:left w:val="none" w:color="000000" w:sz="4" w:space="0"/>
              <w:bottom w:val="single" w:color="000000" w:sz="8" w:space="0"/>
              <w:right w:val="single" w:color="000000" w:sz="8" w:space="0"/>
            </w:tcBorders>
            <w:tcW w:w="2234"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4272"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国家</w:t>
            </w:r>
            <w:r>
              <w:rPr>
                <w:rFonts w:hint="eastAsia" w:ascii="宋体" w:hAnsi="宋体" w:eastAsia="宋体" w:cs="宋体"/>
                <w:sz w:val="24"/>
                <w:szCs w:val="24"/>
                <w:lang w:bidi="ar"/>
              </w:rPr>
              <w:t xml:space="preserve">医</w:t>
            </w:r>
            <w:r>
              <w:rPr>
                <w:rFonts w:hint="eastAsia" w:ascii="宋体" w:hAnsi="宋体" w:eastAsia="宋体" w:cs="宋体"/>
                <w:sz w:val="24"/>
                <w:szCs w:val="24"/>
                <w:lang w:bidi="ar"/>
              </w:rPr>
              <w:t xml:space="preserve">保管理系统</w:t>
            </w:r>
            <w:r/>
          </w:p>
        </w:tc>
      </w:tr>
      <w:tr>
        <w:trPr>
          <w:jc w:val="center"/>
          <w:trHeight w:val="23"/>
        </w:trPr>
        <w:tc>
          <w:tcPr>
            <w:shd w:val="clear" w:color="auto" w:fill="auto"/>
            <w:tcBorders>
              <w:top w:val="none" w:color="000000" w:sz="4" w:space="0"/>
              <w:left w:val="single" w:color="000000" w:sz="8" w:space="0"/>
              <w:bottom w:val="single" w:color="000000" w:sz="8" w:space="0"/>
              <w:right w:val="single" w:color="000000" w:sz="8" w:space="0"/>
            </w:tcBorders>
            <w:tcW w:w="1711"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21</w:t>
            </w:r>
            <w:r/>
          </w:p>
        </w:tc>
        <w:tc>
          <w:tcPr>
            <w:shd w:val="clear" w:color="auto" w:fill="auto"/>
            <w:tcBorders>
              <w:top w:val="none" w:color="000000" w:sz="4" w:space="0"/>
              <w:left w:val="none" w:color="000000" w:sz="4" w:space="0"/>
              <w:bottom w:val="single" w:color="000000" w:sz="8" w:space="0"/>
              <w:right w:val="single" w:color="000000" w:sz="8" w:space="0"/>
            </w:tcBorders>
            <w:tcW w:w="2234"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4272"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治疗系统</w:t>
            </w:r>
            <w:r/>
          </w:p>
        </w:tc>
      </w:tr>
      <w:tr>
        <w:trPr>
          <w:jc w:val="center"/>
          <w:trHeight w:val="23"/>
        </w:trPr>
        <w:tc>
          <w:tcPr>
            <w:shd w:val="clear" w:color="auto" w:fill="auto"/>
            <w:tcBorders>
              <w:top w:val="none" w:color="000000" w:sz="4" w:space="0"/>
              <w:left w:val="single" w:color="000000" w:sz="8" w:space="0"/>
              <w:bottom w:val="single" w:color="000000" w:sz="8" w:space="0"/>
              <w:right w:val="single" w:color="000000" w:sz="8" w:space="0"/>
            </w:tcBorders>
            <w:tcW w:w="1711"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22</w:t>
            </w:r>
            <w:r/>
          </w:p>
        </w:tc>
        <w:tc>
          <w:tcPr>
            <w:shd w:val="clear" w:color="auto" w:fill="auto"/>
            <w:tcBorders>
              <w:top w:val="none" w:color="000000" w:sz="4" w:space="0"/>
              <w:left w:val="none" w:color="000000" w:sz="4" w:space="0"/>
              <w:bottom w:val="single" w:color="000000" w:sz="8" w:space="0"/>
              <w:right w:val="single" w:color="000000" w:sz="8" w:space="0"/>
            </w:tcBorders>
            <w:tcW w:w="2234" w:type="dxa"/>
            <w:vAlign w:val="center"/>
            <w:vMerge w:val="restart"/>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住院医生管理</w:t>
            </w:r>
            <w:r/>
          </w:p>
        </w:tc>
        <w:tc>
          <w:tcPr>
            <w:shd w:val="clear" w:color="auto" w:fill="auto"/>
            <w:tcBorders>
              <w:top w:val="none" w:color="000000" w:sz="4" w:space="0"/>
              <w:left w:val="none" w:color="000000" w:sz="4" w:space="0"/>
              <w:bottom w:val="single" w:color="000000" w:sz="8" w:space="0"/>
              <w:right w:val="single" w:color="000000" w:sz="8" w:space="0"/>
            </w:tcBorders>
            <w:tcW w:w="4272"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住院医生工作站</w:t>
            </w:r>
            <w:r/>
          </w:p>
        </w:tc>
      </w:tr>
      <w:tr>
        <w:trPr>
          <w:jc w:val="center"/>
          <w:trHeight w:val="23"/>
        </w:trPr>
        <w:tc>
          <w:tcPr>
            <w:shd w:val="clear" w:color="auto" w:fill="auto"/>
            <w:tcBorders>
              <w:top w:val="none" w:color="000000" w:sz="4" w:space="0"/>
              <w:left w:val="single" w:color="000000" w:sz="8" w:space="0"/>
              <w:bottom w:val="single" w:color="000000" w:sz="8" w:space="0"/>
              <w:right w:val="single" w:color="000000" w:sz="8" w:space="0"/>
            </w:tcBorders>
            <w:tcW w:w="1711"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23</w:t>
            </w:r>
            <w:r/>
          </w:p>
        </w:tc>
        <w:tc>
          <w:tcPr>
            <w:shd w:val="clear" w:color="auto" w:fill="auto"/>
            <w:tcBorders>
              <w:top w:val="none" w:color="000000" w:sz="4" w:space="0"/>
              <w:left w:val="none" w:color="000000" w:sz="4" w:space="0"/>
              <w:bottom w:val="single" w:color="000000" w:sz="8" w:space="0"/>
              <w:right w:val="single" w:color="000000" w:sz="8" w:space="0"/>
            </w:tcBorders>
            <w:tcW w:w="2234"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4272"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EMR公共模块</w:t>
            </w:r>
            <w:r/>
          </w:p>
        </w:tc>
      </w:tr>
      <w:tr>
        <w:trPr>
          <w:jc w:val="center"/>
          <w:trHeight w:val="23"/>
        </w:trPr>
        <w:tc>
          <w:tcPr>
            <w:shd w:val="clear" w:color="auto" w:fill="auto"/>
            <w:tcBorders>
              <w:top w:val="none" w:color="000000" w:sz="4" w:space="0"/>
              <w:left w:val="single" w:color="000000" w:sz="8" w:space="0"/>
              <w:bottom w:val="single" w:color="000000" w:sz="8" w:space="0"/>
              <w:right w:val="single" w:color="000000" w:sz="8" w:space="0"/>
            </w:tcBorders>
            <w:tcW w:w="1711"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24</w:t>
            </w:r>
            <w:r/>
          </w:p>
        </w:tc>
        <w:tc>
          <w:tcPr>
            <w:shd w:val="clear" w:color="auto" w:fill="auto"/>
            <w:tcBorders>
              <w:top w:val="none" w:color="000000" w:sz="4" w:space="0"/>
              <w:left w:val="none" w:color="000000" w:sz="4" w:space="0"/>
              <w:bottom w:val="single" w:color="000000" w:sz="8" w:space="0"/>
              <w:right w:val="single" w:color="000000" w:sz="8" w:space="0"/>
            </w:tcBorders>
            <w:tcW w:w="2234"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4272"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电子病历系统</w:t>
            </w:r>
            <w:r/>
          </w:p>
        </w:tc>
      </w:tr>
      <w:tr>
        <w:trPr>
          <w:jc w:val="center"/>
          <w:trHeight w:val="23"/>
        </w:trPr>
        <w:tc>
          <w:tcPr>
            <w:shd w:val="clear" w:color="auto" w:fill="auto"/>
            <w:tcBorders>
              <w:top w:val="none" w:color="000000" w:sz="4" w:space="0"/>
              <w:left w:val="single" w:color="000000" w:sz="8" w:space="0"/>
              <w:bottom w:val="single" w:color="000000" w:sz="8" w:space="0"/>
              <w:right w:val="single" w:color="000000" w:sz="8" w:space="0"/>
            </w:tcBorders>
            <w:tcW w:w="1711"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25</w:t>
            </w:r>
            <w:r/>
          </w:p>
        </w:tc>
        <w:tc>
          <w:tcPr>
            <w:shd w:val="clear" w:color="auto" w:fill="auto"/>
            <w:tcBorders>
              <w:top w:val="none" w:color="000000" w:sz="4" w:space="0"/>
              <w:left w:val="none" w:color="000000" w:sz="4" w:space="0"/>
              <w:bottom w:val="single" w:color="000000" w:sz="8" w:space="0"/>
              <w:right w:val="single" w:color="000000" w:sz="8" w:space="0"/>
            </w:tcBorders>
            <w:tcW w:w="2234"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4272"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病历质控系统</w:t>
            </w:r>
            <w:r/>
          </w:p>
        </w:tc>
      </w:tr>
      <w:tr>
        <w:trPr>
          <w:jc w:val="center"/>
          <w:trHeight w:val="23"/>
        </w:trPr>
        <w:tc>
          <w:tcPr>
            <w:shd w:val="clear" w:color="auto" w:fill="auto"/>
            <w:tcBorders>
              <w:top w:val="none" w:color="000000" w:sz="4" w:space="0"/>
              <w:left w:val="single" w:color="000000" w:sz="8" w:space="0"/>
              <w:bottom w:val="single" w:color="000000" w:sz="8" w:space="0"/>
              <w:right w:val="single" w:color="000000" w:sz="8" w:space="0"/>
            </w:tcBorders>
            <w:tcW w:w="1711"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26</w:t>
            </w:r>
            <w:r/>
          </w:p>
        </w:tc>
        <w:tc>
          <w:tcPr>
            <w:shd w:val="clear" w:color="auto" w:fill="auto"/>
            <w:tcBorders>
              <w:top w:val="none" w:color="000000" w:sz="4" w:space="0"/>
              <w:left w:val="none" w:color="000000" w:sz="4" w:space="0"/>
              <w:bottom w:val="single" w:color="000000" w:sz="8" w:space="0"/>
              <w:right w:val="single" w:color="000000" w:sz="8" w:space="0"/>
            </w:tcBorders>
            <w:tcW w:w="2234"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4272"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医务科信息管理系统</w:t>
            </w:r>
            <w:r/>
          </w:p>
        </w:tc>
      </w:tr>
      <w:tr>
        <w:trPr>
          <w:jc w:val="center"/>
          <w:trHeight w:val="23"/>
        </w:trPr>
        <w:tc>
          <w:tcPr>
            <w:shd w:val="clear" w:color="auto" w:fill="auto"/>
            <w:tcBorders>
              <w:top w:val="none" w:color="000000" w:sz="4" w:space="0"/>
              <w:left w:val="single" w:color="000000" w:sz="8" w:space="0"/>
              <w:bottom w:val="single" w:color="000000" w:sz="8" w:space="0"/>
              <w:right w:val="single" w:color="000000" w:sz="8" w:space="0"/>
            </w:tcBorders>
            <w:tcW w:w="1711"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27</w:t>
            </w:r>
            <w:r/>
          </w:p>
        </w:tc>
        <w:tc>
          <w:tcPr>
            <w:shd w:val="clear" w:color="auto" w:fill="auto"/>
            <w:tcBorders>
              <w:top w:val="none" w:color="000000" w:sz="4" w:space="0"/>
              <w:left w:val="none" w:color="000000" w:sz="4" w:space="0"/>
              <w:bottom w:val="single" w:color="000000" w:sz="8" w:space="0"/>
              <w:right w:val="single" w:color="000000" w:sz="8" w:space="0"/>
            </w:tcBorders>
            <w:tcW w:w="2234"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4272"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临床路径管理系统</w:t>
            </w:r>
            <w:r/>
          </w:p>
        </w:tc>
      </w:tr>
      <w:tr>
        <w:trPr>
          <w:jc w:val="center"/>
          <w:trHeight w:val="23"/>
        </w:trPr>
        <w:tc>
          <w:tcPr>
            <w:shd w:val="clear" w:color="auto" w:fill="auto"/>
            <w:tcBorders>
              <w:top w:val="none" w:color="000000" w:sz="4" w:space="0"/>
              <w:left w:val="single" w:color="000000" w:sz="8" w:space="0"/>
              <w:bottom w:val="single" w:color="000000" w:sz="8" w:space="0"/>
              <w:right w:val="single" w:color="000000" w:sz="8" w:space="0"/>
            </w:tcBorders>
            <w:tcW w:w="1711"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28</w:t>
            </w:r>
            <w:r/>
          </w:p>
        </w:tc>
        <w:tc>
          <w:tcPr>
            <w:shd w:val="clear" w:color="auto" w:fill="auto"/>
            <w:tcBorders>
              <w:top w:val="none" w:color="000000" w:sz="4" w:space="0"/>
              <w:left w:val="none" w:color="000000" w:sz="4" w:space="0"/>
              <w:bottom w:val="single" w:color="000000" w:sz="8" w:space="0"/>
              <w:right w:val="single" w:color="000000" w:sz="8" w:space="0"/>
            </w:tcBorders>
            <w:tcW w:w="2234"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4272"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病案管理信息系统</w:t>
            </w:r>
            <w:r/>
          </w:p>
        </w:tc>
      </w:tr>
      <w:tr>
        <w:trPr>
          <w:jc w:val="center"/>
          <w:trHeight w:val="23"/>
        </w:trPr>
        <w:tc>
          <w:tcPr>
            <w:shd w:val="clear" w:color="auto" w:fill="auto"/>
            <w:tcBorders>
              <w:top w:val="none" w:color="000000" w:sz="4" w:space="0"/>
              <w:left w:val="single" w:color="000000" w:sz="8" w:space="0"/>
              <w:bottom w:val="single" w:color="000000" w:sz="8" w:space="0"/>
              <w:right w:val="single" w:color="000000" w:sz="8" w:space="0"/>
            </w:tcBorders>
            <w:tcW w:w="1711"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29</w:t>
            </w:r>
            <w:r/>
          </w:p>
        </w:tc>
        <w:tc>
          <w:tcPr>
            <w:shd w:val="clear" w:color="auto" w:fill="auto"/>
            <w:tcBorders>
              <w:top w:val="none" w:color="000000" w:sz="4" w:space="0"/>
              <w:left w:val="none" w:color="000000" w:sz="4" w:space="0"/>
              <w:bottom w:val="single" w:color="000000" w:sz="8" w:space="0"/>
              <w:right w:val="single" w:color="000000" w:sz="8" w:space="0"/>
            </w:tcBorders>
            <w:tcW w:w="2234"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4272"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手术室管理系统</w:t>
            </w:r>
            <w:r/>
          </w:p>
        </w:tc>
      </w:tr>
      <w:tr>
        <w:trPr>
          <w:jc w:val="center"/>
          <w:trHeight w:val="23"/>
        </w:trPr>
        <w:tc>
          <w:tcPr>
            <w:shd w:val="clear" w:color="auto" w:fill="auto"/>
            <w:tcBorders>
              <w:top w:val="none" w:color="000000" w:sz="4" w:space="0"/>
              <w:left w:val="single" w:color="000000" w:sz="8" w:space="0"/>
              <w:bottom w:val="single" w:color="000000" w:sz="8" w:space="0"/>
              <w:right w:val="single" w:color="000000" w:sz="8" w:space="0"/>
            </w:tcBorders>
            <w:tcW w:w="1711"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30</w:t>
            </w:r>
            <w:r/>
          </w:p>
        </w:tc>
        <w:tc>
          <w:tcPr>
            <w:shd w:val="clear" w:color="auto" w:fill="auto"/>
            <w:tcBorders>
              <w:top w:val="none" w:color="000000" w:sz="4" w:space="0"/>
              <w:left w:val="none" w:color="000000" w:sz="4" w:space="0"/>
              <w:bottom w:val="single" w:color="000000" w:sz="8" w:space="0"/>
              <w:right w:val="single" w:color="000000" w:sz="8" w:space="0"/>
            </w:tcBorders>
            <w:tcW w:w="2234"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4272"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抗菌药物系统</w:t>
            </w:r>
            <w:r/>
          </w:p>
        </w:tc>
      </w:tr>
      <w:tr>
        <w:trPr>
          <w:jc w:val="center"/>
          <w:trHeight w:val="23"/>
        </w:trPr>
        <w:tc>
          <w:tcPr>
            <w:shd w:val="clear" w:color="auto" w:fill="auto"/>
            <w:tcBorders>
              <w:top w:val="none" w:color="000000" w:sz="4" w:space="0"/>
              <w:left w:val="single" w:color="000000" w:sz="8" w:space="0"/>
              <w:bottom w:val="single" w:color="000000" w:sz="8" w:space="0"/>
              <w:right w:val="single" w:color="000000" w:sz="8" w:space="0"/>
            </w:tcBorders>
            <w:tcW w:w="1711"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31</w:t>
            </w:r>
            <w:r/>
          </w:p>
        </w:tc>
        <w:tc>
          <w:tcPr>
            <w:shd w:val="clear" w:color="auto" w:fill="auto"/>
            <w:tcBorders>
              <w:top w:val="none" w:color="000000" w:sz="4" w:space="0"/>
              <w:left w:val="none" w:color="000000" w:sz="4" w:space="0"/>
              <w:bottom w:val="single" w:color="000000" w:sz="8" w:space="0"/>
              <w:right w:val="single" w:color="000000" w:sz="8" w:space="0"/>
            </w:tcBorders>
            <w:tcW w:w="2234"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4272"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消息管理系统</w:t>
            </w:r>
            <w:r/>
          </w:p>
        </w:tc>
      </w:tr>
      <w:tr>
        <w:trPr>
          <w:jc w:val="center"/>
          <w:trHeight w:val="23"/>
        </w:trPr>
        <w:tc>
          <w:tcPr>
            <w:shd w:val="clear" w:color="auto" w:fill="auto"/>
            <w:tcBorders>
              <w:top w:val="none" w:color="000000" w:sz="4" w:space="0"/>
              <w:left w:val="single" w:color="000000" w:sz="8" w:space="0"/>
              <w:bottom w:val="single" w:color="000000" w:sz="8" w:space="0"/>
              <w:right w:val="single" w:color="000000" w:sz="8" w:space="0"/>
            </w:tcBorders>
            <w:tcW w:w="1711"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32</w:t>
            </w:r>
            <w:r/>
          </w:p>
        </w:tc>
        <w:tc>
          <w:tcPr>
            <w:shd w:val="clear" w:color="auto" w:fill="auto"/>
            <w:tcBorders>
              <w:top w:val="none" w:color="000000" w:sz="4" w:space="0"/>
              <w:left w:val="none" w:color="000000" w:sz="4" w:space="0"/>
              <w:bottom w:val="single" w:color="000000" w:sz="8" w:space="0"/>
              <w:right w:val="single" w:color="000000" w:sz="8" w:space="0"/>
            </w:tcBorders>
            <w:tcW w:w="2234"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4272"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会诊管理系统</w:t>
            </w:r>
            <w:r/>
          </w:p>
        </w:tc>
      </w:tr>
      <w:tr>
        <w:trPr>
          <w:jc w:val="center"/>
          <w:trHeight w:val="23"/>
        </w:trPr>
        <w:tc>
          <w:tcPr>
            <w:shd w:val="clear" w:color="auto" w:fill="auto"/>
            <w:tcBorders>
              <w:top w:val="none" w:color="000000" w:sz="4" w:space="0"/>
              <w:left w:val="single" w:color="000000" w:sz="8" w:space="0"/>
              <w:bottom w:val="single" w:color="000000" w:sz="8" w:space="0"/>
              <w:right w:val="single" w:color="000000" w:sz="8" w:space="0"/>
            </w:tcBorders>
            <w:tcW w:w="1711"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33</w:t>
            </w:r>
            <w:r/>
          </w:p>
        </w:tc>
        <w:tc>
          <w:tcPr>
            <w:shd w:val="clear" w:color="auto" w:fill="auto"/>
            <w:tcBorders>
              <w:top w:val="none" w:color="000000" w:sz="4" w:space="0"/>
              <w:left w:val="none" w:color="000000" w:sz="4" w:space="0"/>
              <w:bottom w:val="single" w:color="000000" w:sz="8" w:space="0"/>
              <w:right w:val="single" w:color="000000" w:sz="8" w:space="0"/>
            </w:tcBorders>
            <w:tcW w:w="2234"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4272"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不良事件上报系统</w:t>
            </w:r>
            <w:r/>
          </w:p>
        </w:tc>
      </w:tr>
      <w:tr>
        <w:trPr>
          <w:jc w:val="center"/>
          <w:trHeight w:val="23"/>
        </w:trPr>
        <w:tc>
          <w:tcPr>
            <w:shd w:val="clear" w:color="auto" w:fill="auto"/>
            <w:tcBorders>
              <w:top w:val="none" w:color="000000" w:sz="4" w:space="0"/>
              <w:left w:val="single" w:color="000000" w:sz="8" w:space="0"/>
              <w:bottom w:val="single" w:color="000000" w:sz="8" w:space="0"/>
              <w:right w:val="single" w:color="000000" w:sz="8" w:space="0"/>
            </w:tcBorders>
            <w:tcW w:w="1711"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34</w:t>
            </w:r>
            <w:r/>
          </w:p>
        </w:tc>
        <w:tc>
          <w:tcPr>
            <w:shd w:val="clear" w:color="auto" w:fill="auto"/>
            <w:tcBorders>
              <w:top w:val="none" w:color="000000" w:sz="4" w:space="0"/>
              <w:left w:val="none" w:color="000000" w:sz="4" w:space="0"/>
              <w:bottom w:val="single" w:color="000000" w:sz="8" w:space="0"/>
              <w:right w:val="single" w:color="000000" w:sz="8" w:space="0"/>
            </w:tcBorders>
            <w:tcW w:w="2234" w:type="dxa"/>
            <w:vAlign w:val="center"/>
            <w:vMerge w:val="restart"/>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检验管理</w:t>
            </w:r>
            <w:r/>
          </w:p>
        </w:tc>
        <w:tc>
          <w:tcPr>
            <w:shd w:val="clear" w:color="auto" w:fill="auto"/>
            <w:tcBorders>
              <w:top w:val="none" w:color="000000" w:sz="4" w:space="0"/>
              <w:left w:val="none" w:color="000000" w:sz="4" w:space="0"/>
              <w:bottom w:val="single" w:color="000000" w:sz="8" w:space="0"/>
              <w:right w:val="single" w:color="000000" w:sz="8" w:space="0"/>
            </w:tcBorders>
            <w:tcW w:w="4272"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中心血库管理系统</w:t>
            </w:r>
            <w:r/>
          </w:p>
        </w:tc>
      </w:tr>
      <w:tr>
        <w:trPr>
          <w:jc w:val="center"/>
          <w:trHeight w:val="23"/>
        </w:trPr>
        <w:tc>
          <w:tcPr>
            <w:shd w:val="clear" w:color="auto" w:fill="auto"/>
            <w:tcBorders>
              <w:top w:val="none" w:color="000000" w:sz="4" w:space="0"/>
              <w:left w:val="single" w:color="000000" w:sz="8" w:space="0"/>
              <w:bottom w:val="single" w:color="000000" w:sz="8" w:space="0"/>
              <w:right w:val="single" w:color="000000" w:sz="8" w:space="0"/>
            </w:tcBorders>
            <w:tcW w:w="1711"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35</w:t>
            </w:r>
            <w:r/>
          </w:p>
        </w:tc>
        <w:tc>
          <w:tcPr>
            <w:shd w:val="clear" w:color="auto" w:fill="auto"/>
            <w:tcBorders>
              <w:top w:val="none" w:color="000000" w:sz="4" w:space="0"/>
              <w:left w:val="none" w:color="000000" w:sz="4" w:space="0"/>
              <w:bottom w:val="single" w:color="000000" w:sz="8" w:space="0"/>
              <w:right w:val="single" w:color="000000" w:sz="8" w:space="0"/>
            </w:tcBorders>
            <w:tcW w:w="2234"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4272"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检验系统</w:t>
            </w:r>
            <w:r/>
          </w:p>
        </w:tc>
      </w:tr>
      <w:tr>
        <w:trPr>
          <w:jc w:val="center"/>
          <w:trHeight w:val="23"/>
        </w:trPr>
        <w:tc>
          <w:tcPr>
            <w:shd w:val="clear" w:color="auto" w:fill="auto"/>
            <w:tcBorders>
              <w:top w:val="none" w:color="000000" w:sz="4" w:space="0"/>
              <w:left w:val="single" w:color="000000" w:sz="8" w:space="0"/>
              <w:bottom w:val="single" w:color="000000" w:sz="8" w:space="0"/>
              <w:right w:val="single" w:color="000000" w:sz="8" w:space="0"/>
            </w:tcBorders>
            <w:tcW w:w="1711"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36</w:t>
            </w:r>
            <w:r/>
          </w:p>
        </w:tc>
        <w:tc>
          <w:tcPr>
            <w:shd w:val="clear" w:color="auto" w:fill="auto"/>
            <w:tcBorders>
              <w:top w:val="none" w:color="000000" w:sz="4" w:space="0"/>
              <w:left w:val="none" w:color="000000" w:sz="4" w:space="0"/>
              <w:bottom w:val="single" w:color="000000" w:sz="8" w:space="0"/>
              <w:right w:val="single" w:color="000000" w:sz="8" w:space="0"/>
            </w:tcBorders>
            <w:tcW w:w="2234"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4272"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试剂系统</w:t>
            </w:r>
            <w:r/>
          </w:p>
        </w:tc>
      </w:tr>
      <w:tr>
        <w:trPr>
          <w:jc w:val="center"/>
          <w:trHeight w:val="23"/>
        </w:trPr>
        <w:tc>
          <w:tcPr>
            <w:shd w:val="clear" w:color="auto" w:fill="auto"/>
            <w:tcBorders>
              <w:top w:val="none" w:color="000000" w:sz="4" w:space="0"/>
              <w:left w:val="single" w:color="000000" w:sz="8" w:space="0"/>
              <w:bottom w:val="single" w:color="000000" w:sz="8" w:space="0"/>
              <w:right w:val="single" w:color="000000" w:sz="8" w:space="0"/>
            </w:tcBorders>
            <w:tcW w:w="1711"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37</w:t>
            </w:r>
            <w:r/>
          </w:p>
        </w:tc>
        <w:tc>
          <w:tcPr>
            <w:shd w:val="clear" w:color="auto" w:fill="auto"/>
            <w:tcBorders>
              <w:top w:val="none" w:color="000000" w:sz="4" w:space="0"/>
              <w:left w:val="none" w:color="000000" w:sz="4" w:space="0"/>
              <w:bottom w:val="single" w:color="000000" w:sz="8" w:space="0"/>
              <w:right w:val="single" w:color="000000" w:sz="8" w:space="0"/>
            </w:tcBorders>
            <w:tcW w:w="2234"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4272"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门诊条码管理系统</w:t>
            </w:r>
            <w:r/>
          </w:p>
        </w:tc>
      </w:tr>
      <w:tr>
        <w:trPr>
          <w:jc w:val="center"/>
          <w:trHeight w:val="23"/>
        </w:trPr>
        <w:tc>
          <w:tcPr>
            <w:shd w:val="clear" w:color="auto" w:fill="auto"/>
            <w:tcBorders>
              <w:top w:val="none" w:color="000000" w:sz="4" w:space="0"/>
              <w:left w:val="single" w:color="000000" w:sz="8" w:space="0"/>
              <w:bottom w:val="single" w:color="000000" w:sz="8" w:space="0"/>
              <w:right w:val="single" w:color="000000" w:sz="8" w:space="0"/>
            </w:tcBorders>
            <w:tcW w:w="1711"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38</w:t>
            </w:r>
            <w:r/>
          </w:p>
        </w:tc>
        <w:tc>
          <w:tcPr>
            <w:shd w:val="clear" w:color="auto" w:fill="auto"/>
            <w:tcBorders>
              <w:top w:val="none" w:color="000000" w:sz="4" w:space="0"/>
              <w:left w:val="none" w:color="000000" w:sz="4" w:space="0"/>
              <w:bottom w:val="single" w:color="000000" w:sz="8" w:space="0"/>
              <w:right w:val="single" w:color="000000" w:sz="8" w:space="0"/>
            </w:tcBorders>
            <w:tcW w:w="2234"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4272"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检验报告自助打印</w:t>
            </w:r>
            <w:r/>
          </w:p>
        </w:tc>
      </w:tr>
      <w:tr>
        <w:trPr>
          <w:jc w:val="center"/>
          <w:trHeight w:val="23"/>
        </w:trPr>
        <w:tc>
          <w:tcPr>
            <w:shd w:val="clear" w:color="auto" w:fill="auto"/>
            <w:tcBorders>
              <w:top w:val="none" w:color="000000" w:sz="4" w:space="0"/>
              <w:left w:val="single" w:color="000000" w:sz="8" w:space="0"/>
              <w:bottom w:val="single" w:color="000000" w:sz="8" w:space="0"/>
              <w:right w:val="single" w:color="000000" w:sz="8" w:space="0"/>
            </w:tcBorders>
            <w:tcW w:w="1711"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39</w:t>
            </w:r>
            <w:r/>
          </w:p>
        </w:tc>
        <w:tc>
          <w:tcPr>
            <w:shd w:val="clear" w:color="auto" w:fill="auto"/>
            <w:tcBorders>
              <w:top w:val="none" w:color="000000" w:sz="4" w:space="0"/>
              <w:left w:val="none" w:color="000000" w:sz="4" w:space="0"/>
              <w:bottom w:val="single" w:color="000000" w:sz="8" w:space="0"/>
              <w:right w:val="single" w:color="000000" w:sz="8" w:space="0"/>
            </w:tcBorders>
            <w:tcW w:w="2234"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4272"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检验微生物系统</w:t>
            </w:r>
            <w:r/>
          </w:p>
        </w:tc>
      </w:tr>
      <w:tr>
        <w:trPr>
          <w:jc w:val="center"/>
          <w:trHeight w:val="23"/>
        </w:trPr>
        <w:tc>
          <w:tcPr>
            <w:shd w:val="clear" w:color="auto" w:fill="auto"/>
            <w:tcBorders>
              <w:top w:val="none" w:color="000000" w:sz="4" w:space="0"/>
              <w:left w:val="single" w:color="000000" w:sz="8" w:space="0"/>
              <w:bottom w:val="single" w:color="000000" w:sz="8" w:space="0"/>
              <w:right w:val="single" w:color="000000" w:sz="8" w:space="0"/>
            </w:tcBorders>
            <w:tcW w:w="1711"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40</w:t>
            </w:r>
            <w:r/>
          </w:p>
        </w:tc>
        <w:tc>
          <w:tcPr>
            <w:shd w:val="clear" w:color="auto" w:fill="auto"/>
            <w:tcBorders>
              <w:top w:val="none" w:color="000000" w:sz="4" w:space="0"/>
              <w:left w:val="none" w:color="000000" w:sz="4" w:space="0"/>
              <w:bottom w:val="single" w:color="000000" w:sz="8" w:space="0"/>
              <w:right w:val="single" w:color="000000" w:sz="8" w:space="0"/>
            </w:tcBorders>
            <w:tcW w:w="2234"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4272"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知识库</w:t>
            </w:r>
            <w:r/>
          </w:p>
        </w:tc>
      </w:tr>
      <w:tr>
        <w:trPr>
          <w:jc w:val="center"/>
          <w:trHeight w:val="23"/>
        </w:trPr>
        <w:tc>
          <w:tcPr>
            <w:shd w:val="clear" w:color="auto" w:fill="auto"/>
            <w:tcBorders>
              <w:top w:val="none" w:color="000000" w:sz="4" w:space="0"/>
              <w:left w:val="single" w:color="000000" w:sz="8" w:space="0"/>
              <w:bottom w:val="single" w:color="000000" w:sz="8" w:space="0"/>
              <w:right w:val="single" w:color="000000" w:sz="8" w:space="0"/>
            </w:tcBorders>
            <w:tcW w:w="1711"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41</w:t>
            </w:r>
            <w:r/>
          </w:p>
        </w:tc>
        <w:tc>
          <w:tcPr>
            <w:shd w:val="clear" w:color="auto" w:fill="auto"/>
            <w:tcBorders>
              <w:top w:val="none" w:color="000000" w:sz="4" w:space="0"/>
              <w:left w:val="none" w:color="000000" w:sz="4" w:space="0"/>
              <w:bottom w:val="none" w:color="000000" w:sz="4" w:space="0"/>
              <w:right w:val="single" w:color="000000" w:sz="8" w:space="0"/>
            </w:tcBorders>
            <w:tcW w:w="2234" w:type="dxa"/>
            <w:vAlign w:val="center"/>
            <w:vMerge w:val="restart"/>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护理管理</w:t>
            </w:r>
            <w:r/>
          </w:p>
        </w:tc>
        <w:tc>
          <w:tcPr>
            <w:shd w:val="clear" w:color="auto" w:fill="auto"/>
            <w:tcBorders>
              <w:top w:val="none" w:color="000000" w:sz="4" w:space="0"/>
              <w:left w:val="none" w:color="000000" w:sz="4" w:space="0"/>
              <w:bottom w:val="single" w:color="000000" w:sz="8" w:space="0"/>
              <w:right w:val="single" w:color="000000" w:sz="8" w:space="0"/>
            </w:tcBorders>
            <w:tcW w:w="4272"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病区护士工作站</w:t>
            </w:r>
            <w:r/>
          </w:p>
        </w:tc>
      </w:tr>
      <w:tr>
        <w:trPr>
          <w:jc w:val="center"/>
          <w:trHeight w:val="23"/>
        </w:trPr>
        <w:tc>
          <w:tcPr>
            <w:shd w:val="clear" w:color="auto" w:fill="auto"/>
            <w:tcBorders>
              <w:top w:val="none" w:color="000000" w:sz="4" w:space="0"/>
              <w:left w:val="single" w:color="000000" w:sz="8" w:space="0"/>
              <w:bottom w:val="single" w:color="000000" w:sz="8" w:space="0"/>
              <w:right w:val="single" w:color="000000" w:sz="8" w:space="0"/>
            </w:tcBorders>
            <w:tcW w:w="1711"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42</w:t>
            </w:r>
            <w:r/>
          </w:p>
        </w:tc>
        <w:tc>
          <w:tcPr>
            <w:shd w:val="clear" w:color="auto" w:fill="auto"/>
            <w:tcBorders>
              <w:top w:val="none" w:color="000000" w:sz="4" w:space="0"/>
              <w:left w:val="none" w:color="000000" w:sz="4" w:space="0"/>
              <w:bottom w:val="none" w:color="000000" w:sz="4" w:space="0"/>
              <w:right w:val="single" w:color="000000" w:sz="8" w:space="0"/>
            </w:tcBorders>
            <w:tcW w:w="2234"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4272"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护理部管理信息系统</w:t>
            </w:r>
            <w:r/>
          </w:p>
        </w:tc>
      </w:tr>
      <w:tr>
        <w:trPr>
          <w:jc w:val="center"/>
          <w:trHeight w:val="23"/>
        </w:trPr>
        <w:tc>
          <w:tcPr>
            <w:shd w:val="clear" w:color="auto" w:fill="auto"/>
            <w:tcBorders>
              <w:top w:val="none" w:color="000000" w:sz="4" w:space="0"/>
              <w:left w:val="single" w:color="000000" w:sz="8" w:space="0"/>
              <w:bottom w:val="single" w:color="000000" w:sz="8" w:space="0"/>
              <w:right w:val="single" w:color="000000" w:sz="8" w:space="0"/>
            </w:tcBorders>
            <w:tcW w:w="1711"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43</w:t>
            </w:r>
            <w:r/>
          </w:p>
        </w:tc>
        <w:tc>
          <w:tcPr>
            <w:shd w:val="clear" w:color="auto" w:fill="auto"/>
            <w:tcBorders>
              <w:top w:val="none" w:color="000000" w:sz="4" w:space="0"/>
              <w:left w:val="none" w:color="000000" w:sz="4" w:space="0"/>
              <w:bottom w:val="none" w:color="000000" w:sz="4" w:space="0"/>
              <w:right w:val="single" w:color="000000" w:sz="8" w:space="0"/>
            </w:tcBorders>
            <w:tcW w:w="2234"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4272"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护理记录系统</w:t>
            </w:r>
            <w:r/>
          </w:p>
        </w:tc>
      </w:tr>
      <w:tr>
        <w:trPr>
          <w:jc w:val="center"/>
          <w:trHeight w:val="23"/>
        </w:trPr>
        <w:tc>
          <w:tcPr>
            <w:shd w:val="clear" w:color="auto" w:fill="auto"/>
            <w:tcBorders>
              <w:top w:val="none" w:color="000000" w:sz="4" w:space="0"/>
              <w:left w:val="single" w:color="000000" w:sz="8" w:space="0"/>
              <w:bottom w:val="single" w:color="000000" w:sz="8" w:space="0"/>
              <w:right w:val="single" w:color="000000" w:sz="8" w:space="0"/>
            </w:tcBorders>
            <w:tcW w:w="1711"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44</w:t>
            </w:r>
            <w:r/>
          </w:p>
        </w:tc>
        <w:tc>
          <w:tcPr>
            <w:shd w:val="clear" w:color="auto" w:fill="auto"/>
            <w:tcBorders>
              <w:top w:val="none" w:color="000000" w:sz="4" w:space="0"/>
              <w:left w:val="none" w:color="000000" w:sz="4" w:space="0"/>
              <w:bottom w:val="none" w:color="000000" w:sz="4" w:space="0"/>
              <w:right w:val="single" w:color="000000" w:sz="8" w:space="0"/>
            </w:tcBorders>
            <w:tcW w:w="2234"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4272"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护理评估系统</w:t>
            </w:r>
            <w:r/>
          </w:p>
        </w:tc>
      </w:tr>
      <w:tr>
        <w:trPr>
          <w:jc w:val="center"/>
          <w:trHeight w:val="23"/>
        </w:trPr>
        <w:tc>
          <w:tcPr>
            <w:shd w:val="clear" w:color="auto" w:fill="auto"/>
            <w:tcBorders>
              <w:top w:val="none" w:color="000000" w:sz="4" w:space="0"/>
              <w:left w:val="single" w:color="000000" w:sz="8" w:space="0"/>
              <w:bottom w:val="single" w:color="auto" w:sz="4" w:space="0"/>
              <w:right w:val="single" w:color="000000" w:sz="8" w:space="0"/>
            </w:tcBorders>
            <w:tcW w:w="1711"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45</w:t>
            </w:r>
            <w:r/>
          </w:p>
        </w:tc>
        <w:tc>
          <w:tcPr>
            <w:shd w:val="clear" w:color="auto" w:fill="auto"/>
            <w:tcBorders>
              <w:top w:val="none" w:color="000000" w:sz="4" w:space="0"/>
              <w:left w:val="none" w:color="000000" w:sz="4" w:space="0"/>
              <w:bottom w:val="single" w:color="auto" w:sz="4" w:space="0"/>
              <w:right w:val="single" w:color="000000" w:sz="8" w:space="0"/>
            </w:tcBorders>
            <w:tcW w:w="2234"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none" w:color="000000" w:sz="4" w:space="0"/>
              <w:left w:val="none" w:color="000000" w:sz="4" w:space="0"/>
              <w:bottom w:val="single" w:color="auto" w:sz="4" w:space="0"/>
              <w:right w:val="single" w:color="000000" w:sz="8" w:space="0"/>
            </w:tcBorders>
            <w:tcW w:w="4272"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移动护理系统</w:t>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1711"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46</w:t>
            </w:r>
            <w:r/>
          </w:p>
        </w:tc>
        <w:tc>
          <w:tcPr>
            <w:shd w:val="clear" w:color="auto" w:fill="auto"/>
            <w:tcBorders>
              <w:top w:val="single" w:color="auto" w:sz="4" w:space="0"/>
              <w:left w:val="single" w:color="auto" w:sz="4" w:space="0"/>
              <w:bottom w:val="single" w:color="auto" w:sz="4" w:space="0"/>
              <w:right w:val="single" w:color="auto" w:sz="4" w:space="0"/>
            </w:tcBorders>
            <w:tcW w:w="2234" w:type="dxa"/>
            <w:vAlign w:val="center"/>
            <w:vMerge w:val="restart"/>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其他系统</w:t>
            </w:r>
            <w:r/>
          </w:p>
        </w:tc>
        <w:tc>
          <w:tcPr>
            <w:shd w:val="clear" w:color="auto" w:fill="auto"/>
            <w:tcBorders>
              <w:top w:val="single" w:color="auto" w:sz="4" w:space="0"/>
              <w:left w:val="single" w:color="auto" w:sz="4" w:space="0"/>
              <w:bottom w:val="single" w:color="auto" w:sz="4" w:space="0"/>
              <w:right w:val="single" w:color="auto" w:sz="4" w:space="0"/>
            </w:tcBorders>
            <w:tcW w:w="4272"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综合查询系统</w:t>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1711" w:type="dxa"/>
            <w:vAlign w:val="center"/>
            <w:textDirection w:val="lrTb"/>
            <w:noWrap w:val="false"/>
          </w:tcPr>
          <w:p>
            <w:pPr>
              <w:jc w:val="center"/>
              <w:spacing w:line="400" w:lineRule="exact"/>
              <w:rPr>
                <w:rFonts w:eastAsia="宋体" w:asciiTheme="minorEastAsia" w:hAnsiTheme="minorEastAsia"/>
                <w:sz w:val="24"/>
                <w:szCs w:val="24"/>
              </w:rPr>
              <w:outlineLvl w:val="2"/>
            </w:pPr>
            <w:r>
              <w:rPr>
                <w:rFonts w:hint="eastAsia" w:asciiTheme="minorEastAsia" w:hAnsiTheme="minorEastAsia"/>
                <w:sz w:val="24"/>
                <w:szCs w:val="24"/>
              </w:rPr>
              <w:t xml:space="preserve">47</w:t>
            </w:r>
            <w:r/>
          </w:p>
        </w:tc>
        <w:tc>
          <w:tcPr>
            <w:shd w:val="clear" w:color="auto" w:fill="auto"/>
            <w:tcBorders>
              <w:top w:val="single" w:color="auto" w:sz="4" w:space="0"/>
              <w:left w:val="single" w:color="auto" w:sz="4" w:space="0"/>
              <w:bottom w:val="single" w:color="auto" w:sz="4" w:space="0"/>
              <w:right w:val="single" w:color="auto" w:sz="4" w:space="0"/>
            </w:tcBorders>
            <w:tcW w:w="2234" w:type="dxa"/>
            <w:vAlign w:val="center"/>
            <w:vMerge w:val="continue"/>
            <w:textDirection w:val="lrTb"/>
            <w:noWrap w:val="false"/>
          </w:tcPr>
          <w:p>
            <w:pPr>
              <w:jc w:val="center"/>
              <w:spacing w:line="400" w:lineRule="exact"/>
              <w:rPr>
                <w:rFonts w:asciiTheme="minorEastAsia" w:hAnsiTheme="minorEastAsia"/>
                <w:sz w:val="24"/>
                <w:szCs w:val="24"/>
              </w:rPr>
              <w:outlineLvl w:val="2"/>
            </w:pPr>
            <w:r>
              <w:rPr>
                <w:rFonts w:asciiTheme="minorEastAsia" w:hAnsiTheme="minorEastAsia"/>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4272" w:type="dxa"/>
            <w:vAlign w:val="center"/>
            <w:textDirection w:val="lrTb"/>
            <w:noWrap w:val="false"/>
          </w:tcPr>
          <w:p>
            <w:pPr>
              <w:jc w:val="center"/>
              <w:spacing w:line="400" w:lineRule="exact"/>
              <w:rPr>
                <w:rFonts w:eastAsia="宋体" w:asciiTheme="minorEastAsia" w:hAnsiTheme="minorEastAsia"/>
                <w:sz w:val="24"/>
                <w:szCs w:val="24"/>
              </w:rPr>
              <w:outlineLvl w:val="2"/>
            </w:pPr>
            <w:r>
              <w:rPr>
                <w:rFonts w:hint="eastAsia" w:asciiTheme="minorEastAsia" w:hAnsiTheme="minorEastAsia"/>
                <w:sz w:val="24"/>
                <w:szCs w:val="24"/>
              </w:rPr>
              <w:t xml:space="preserve">科主任查询系统</w:t>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1711" w:type="dxa"/>
            <w:vAlign w:val="center"/>
            <w:textDirection w:val="lrTb"/>
            <w:noWrap w:val="false"/>
          </w:tcPr>
          <w:p>
            <w:pPr>
              <w:jc w:val="center"/>
              <w:spacing w:line="400" w:lineRule="exact"/>
              <w:rPr>
                <w:rFonts w:asciiTheme="minorEastAsia" w:hAnsiTheme="minorEastAsia"/>
                <w:sz w:val="24"/>
                <w:szCs w:val="24"/>
              </w:rPr>
              <w:outlineLvl w:val="2"/>
            </w:pPr>
            <w:r>
              <w:rPr>
                <w:rFonts w:hint="eastAsia" w:asciiTheme="minorEastAsia" w:hAnsiTheme="minorEastAsia"/>
                <w:sz w:val="24"/>
                <w:szCs w:val="24"/>
              </w:rPr>
              <w:t xml:space="preserve">48</w:t>
            </w:r>
            <w:r/>
          </w:p>
        </w:tc>
        <w:tc>
          <w:tcPr>
            <w:shd w:val="clear" w:color="auto" w:fill="auto"/>
            <w:tcBorders>
              <w:top w:val="single" w:color="auto" w:sz="4" w:space="0"/>
              <w:left w:val="single" w:color="auto" w:sz="4" w:space="0"/>
              <w:bottom w:val="single" w:color="auto" w:sz="4" w:space="0"/>
              <w:right w:val="single" w:color="auto" w:sz="4" w:space="0"/>
            </w:tcBorders>
            <w:tcW w:w="2234" w:type="dxa"/>
            <w:vAlign w:val="center"/>
            <w:vMerge w:val="continue"/>
            <w:textDirection w:val="lrTb"/>
            <w:noWrap w:val="false"/>
          </w:tcPr>
          <w:p>
            <w:pPr>
              <w:jc w:val="center"/>
              <w:spacing w:line="400" w:lineRule="exact"/>
              <w:rPr>
                <w:rFonts w:asciiTheme="minorEastAsia" w:hAnsiTheme="minorEastAsia"/>
                <w:sz w:val="24"/>
                <w:szCs w:val="24"/>
              </w:rPr>
              <w:outlineLvl w:val="2"/>
            </w:pPr>
            <w:r>
              <w:rPr>
                <w:rFonts w:asciiTheme="minorEastAsia" w:hAnsiTheme="minorEastAsia"/>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4272" w:type="dxa"/>
            <w:vAlign w:val="center"/>
            <w:textDirection w:val="lrTb"/>
            <w:noWrap w:val="false"/>
          </w:tcPr>
          <w:p>
            <w:pPr>
              <w:jc w:val="center"/>
              <w:spacing w:line="400" w:lineRule="exact"/>
              <w:rPr>
                <w:rFonts w:asciiTheme="minorEastAsia" w:hAnsiTheme="minorEastAsia"/>
                <w:sz w:val="24"/>
                <w:szCs w:val="24"/>
              </w:rPr>
              <w:outlineLvl w:val="2"/>
            </w:pPr>
            <w:r>
              <w:rPr>
                <w:rFonts w:hint="eastAsia" w:asciiTheme="minorEastAsia" w:hAnsiTheme="minorEastAsia"/>
                <w:sz w:val="24"/>
                <w:szCs w:val="24"/>
              </w:rPr>
              <w:t xml:space="preserve">第三方软件接口</w:t>
            </w:r>
            <w:r/>
          </w:p>
        </w:tc>
      </w:tr>
    </w:tbl>
    <w:p>
      <w:pPr>
        <w:ind w:firstLine="482"/>
        <w:spacing w:line="400" w:lineRule="exact"/>
        <w:rPr>
          <w:rFonts w:ascii="宋体" w:hAnsi="宋体" w:eastAsia="宋体" w:cs="楷体"/>
          <w:sz w:val="24"/>
        </w:rPr>
      </w:pPr>
      <w:r>
        <w:rPr>
          <w:rFonts w:ascii="宋体" w:hAnsi="宋体" w:eastAsia="宋体" w:cs="楷体"/>
          <w:sz w:val="24"/>
        </w:rPr>
      </w:r>
      <w:r/>
    </w:p>
    <w:p>
      <w:pPr>
        <w:jc w:val="left"/>
        <w:spacing w:line="400" w:lineRule="exact"/>
        <w:widowControl/>
        <w:rPr>
          <w:rFonts w:ascii="黑体" w:hAnsi="黑体" w:eastAsia="黑体" w:cs="宋体"/>
          <w:sz w:val="28"/>
          <w:szCs w:val="28"/>
        </w:rPr>
        <w:outlineLvl w:val="1"/>
      </w:pPr>
      <w:r>
        <w:rPr>
          <w:rFonts w:hint="eastAsia" w:ascii="黑体" w:hAnsi="黑体" w:eastAsia="黑体" w:cs="宋体"/>
          <w:sz w:val="28"/>
          <w:szCs w:val="28"/>
        </w:rPr>
        <w:t xml:space="preserve">四、</w:t>
      </w:r>
      <w:r>
        <w:rPr>
          <w:rFonts w:hint="eastAsia" w:ascii="黑体" w:hAnsi="黑体" w:eastAsia="黑体"/>
          <w:sz w:val="28"/>
          <w:szCs w:val="28"/>
        </w:rPr>
        <w:t xml:space="preserve">系统功能模块要求：（</w:t>
      </w:r>
      <w:r>
        <w:rPr>
          <w:rFonts w:hint="eastAsia" w:ascii="黑体" w:hAnsi="黑体" w:eastAsia="黑体"/>
          <w:sz w:val="28"/>
          <w:szCs w:val="28"/>
        </w:rPr>
        <w:t xml:space="preserve">其中打</w:t>
      </w:r>
      <w:r>
        <w:rPr>
          <w:rFonts w:hint="eastAsia" w:ascii="黑体" w:hAnsi="黑体" w:eastAsia="黑体"/>
          <w:sz w:val="28"/>
          <w:szCs w:val="28"/>
        </w:rPr>
        <w:t xml:space="preserve">“★”项为重要指标项）</w:t>
      </w:r>
      <w:r/>
    </w:p>
    <w:p>
      <w:pPr>
        <w:ind w:firstLine="482"/>
        <w:jc w:val="left"/>
        <w:keepLines/>
        <w:keepNext/>
        <w:spacing w:line="400" w:lineRule="exact"/>
        <w:widowControl/>
        <w:rPr>
          <w:rFonts w:asciiTheme="minorEastAsia" w:hAnsiTheme="minorEastAsia" w:cstheme="minorEastAsia"/>
          <w:b/>
          <w:bCs/>
          <w:sz w:val="24"/>
          <w:szCs w:val="24"/>
        </w:rPr>
        <w:outlineLvl w:val="1"/>
      </w:pPr>
      <w:r/>
      <w:bookmarkStart w:id="13" w:name="_Toc172053640"/>
      <w:r>
        <w:rPr>
          <w:rFonts w:hint="eastAsia" w:asciiTheme="minorEastAsia" w:hAnsiTheme="minorEastAsia" w:cstheme="minorEastAsia"/>
          <w:b/>
          <w:bCs/>
          <w:sz w:val="24"/>
          <w:szCs w:val="24"/>
        </w:rPr>
        <w:t xml:space="preserve">4.1基础业务管理</w:t>
      </w:r>
      <w:bookmarkEnd w:id="13"/>
      <w:r/>
      <w:r/>
    </w:p>
    <w:p>
      <w:pPr>
        <w:ind w:firstLine="482"/>
        <w:jc w:val="left"/>
        <w:keepLines/>
        <w:keepNext/>
        <w:spacing w:line="400" w:lineRule="exact"/>
        <w:widowControl/>
        <w:rPr>
          <w:rFonts w:asciiTheme="minorEastAsia" w:hAnsiTheme="minorEastAsia" w:cstheme="minorEastAsia"/>
          <w:b/>
          <w:bCs/>
          <w:sz w:val="24"/>
          <w:szCs w:val="24"/>
        </w:rPr>
        <w:outlineLvl w:val="2"/>
      </w:pPr>
      <w:r/>
      <w:bookmarkStart w:id="14" w:name="_Toc172053641"/>
      <w:r>
        <w:rPr>
          <w:rFonts w:hint="eastAsia" w:asciiTheme="minorEastAsia" w:hAnsiTheme="minorEastAsia" w:cstheme="minorEastAsia"/>
          <w:b/>
          <w:bCs/>
          <w:sz w:val="24"/>
          <w:szCs w:val="24"/>
        </w:rPr>
        <w:t xml:space="preserve">4.1.1管理员维护系统</w:t>
      </w:r>
      <w:bookmarkEnd w:id="14"/>
      <w:r/>
      <w:r/>
    </w:p>
    <w:p>
      <w:pPr>
        <w:ind w:firstLine="480"/>
        <w:spacing w:line="400" w:lineRule="exact"/>
        <w:rPr>
          <w:rFonts w:asciiTheme="minorEastAsia" w:hAnsiTheme="minorEastAsia" w:cstheme="minorEastAsia"/>
          <w:sz w:val="24"/>
          <w:szCs w:val="24"/>
        </w:rPr>
      </w:pPr>
      <w:r/>
      <w:bookmarkStart w:id="15" w:name="_Hlk161519618"/>
      <w:r>
        <w:rPr>
          <w:rFonts w:hint="eastAsia" w:asciiTheme="minorEastAsia" w:hAnsiTheme="minorEastAsia" w:cstheme="minorEastAsia"/>
          <w:sz w:val="24"/>
          <w:szCs w:val="24"/>
        </w:rPr>
        <w:t xml:space="preserve">1、系统管理维护</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提供病人档案统一维护。</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支持费用单位、费用病人、付款方式、常用单位、常用地址、病人账户等多种方式维护。</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支持病人档案多种证件类型。</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2、公有数据维护</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提供药品费用归并，支持按照账簿类别来进行归并。</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医疗收费项目支持多个执行科室。</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支持医疗收费项目信息扩展功能。</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提供物价编码属性。</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支持收费项目调价并打印。</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提供病区使用频次最小间隔，支持时间自定义。</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提供产地药品信息的分级管理。</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支持诊疗项目的单位、单价显示，支持增加药品的最小单位、最小规格、最小包装的单价。</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支持收费信息、诊疗明细项目、药品禁用、费用禁用、自负比例等维护。</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3、私有数据维护</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支持按病人性质设置欠费比例与欠费限额。</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支持门诊住院可以设置不同的自负比例。</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4、其他维护</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支持接入支付宝接口、</w:t>
      </w:r>
      <w:r>
        <w:rPr>
          <w:rFonts w:hint="eastAsia" w:asciiTheme="minorEastAsia" w:hAnsiTheme="minorEastAsia" w:cstheme="minorEastAsia"/>
          <w:sz w:val="24"/>
          <w:szCs w:val="24"/>
        </w:rPr>
        <w:t xml:space="preserve">微信支付</w:t>
      </w:r>
      <w:r>
        <w:rPr>
          <w:rFonts w:hint="eastAsia" w:asciiTheme="minorEastAsia" w:hAnsiTheme="minorEastAsia" w:cstheme="minorEastAsia"/>
          <w:sz w:val="24"/>
          <w:szCs w:val="24"/>
        </w:rPr>
        <w:t xml:space="preserve">接口。</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支持刷新进度条数值显示。</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开放数据接口，便于职能部门个性化指标的数据抓取或有自定义的数据抓取功能，可自行维护计算公式，并提供可视化展现，可视化参数可自定义调整。</w:t>
      </w:r>
      <w:bookmarkEnd w:id="15"/>
      <w:r/>
      <w:r/>
    </w:p>
    <w:p>
      <w:pPr>
        <w:ind w:firstLine="482"/>
        <w:jc w:val="left"/>
        <w:keepLines/>
        <w:keepNext/>
        <w:spacing w:line="400" w:lineRule="exact"/>
        <w:widowControl/>
        <w:rPr>
          <w:rFonts w:asciiTheme="minorEastAsia" w:hAnsiTheme="minorEastAsia" w:cstheme="minorEastAsia"/>
          <w:b/>
          <w:bCs/>
          <w:sz w:val="24"/>
          <w:szCs w:val="24"/>
        </w:rPr>
        <w:outlineLvl w:val="2"/>
      </w:pPr>
      <w:r/>
      <w:bookmarkStart w:id="16" w:name="_Toc172053642"/>
      <w:r>
        <w:rPr>
          <w:rFonts w:hint="eastAsia" w:asciiTheme="minorEastAsia" w:hAnsiTheme="minorEastAsia" w:cstheme="minorEastAsia"/>
          <w:b/>
          <w:bCs/>
          <w:sz w:val="24"/>
          <w:szCs w:val="24"/>
        </w:rPr>
        <w:t xml:space="preserve">4.1.2西药库信息系统</w:t>
      </w:r>
      <w:bookmarkEnd w:id="16"/>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1、入库处理</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提供西药入库单处理、库房验收、财务验收、付款处理、采购历史查询等功能。</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提供西药进货价格、批发价格、零售价格三种方式供选择。</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支持对某一采购单进行整体退回，即自动产生退库单。</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允许修改发票号码，支持货到票未到。</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★入库时，可以批量引入追溯码。</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入库单打印需要显示批号。</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2、出库处理</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提供西药出库处理（科室领用、盘亏等），支持药房退回西药库药品的出库处理，提供出库方式的汇总、科室消耗的汇总等功能。</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西药库出库零库存单据可以录入保存，但不允许出库。</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支持引入入库单，无需再次输入。</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按先进先出原则，将早的批次药品先出完。近效期药品出库时，可自动弹出报警提示。</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3、调价处理</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支持西药调价处理、调价历史、调价差额汇总。</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支持西药国家调价、企业调价、进货调价。支持西药零售价调价、进货价调价、批发价调价等。</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支持西药实时调价和定时调价，调价后可将西药信息和西药库、药房在库药品价格进行调整。</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提供相关的调价报表，用于统计查询。</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4、采购计划</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支持根据西药库实际情况进行采购计划的制定，能够提供计划编制、计划审批、计划执行、计划评估等功能。</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支持根据每周销量情况生成采购计划单。</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5、库存管理</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提供西药库药品的养护、盘点功能，西药养护支持按库位与类别对药品进行养护。</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西药盘点支持ABC分类法、随机抽样法两种盘点方法。</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支持对不同状态的西药库存动态管理。</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6、月结处理</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支持统计西药库所有药品当月的结存数量与结存金额，将本月结存作为下一月的上月结存，下一月的发生金额从零开始。</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7、综合查询</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支持全员及各西药库的药品库存查询，提供采购历史、会计账簿、保管员账簿、财务月报、收发存表、采购销售分析、失效药品查询、基本药物统计、特殊药品统计、抗生素统计、西药周转率等统计查询功能。</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支持财务账和实物账的分开处理，对应账簿分别为会计账簿与保管员账簿。</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提供全院药品滞销与畅销报表，统计长期不用的药品。</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统计集采药品周期内进销存报表。</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特殊管理药品（麻醉、精一、精二等）日报表、月报表</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8、配置维护</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药品信息可配置维护自选产地、特殊人群用药、用药限制、药品政策等，药品政策可</w:t>
      </w:r>
      <w:r>
        <w:rPr>
          <w:rFonts w:hint="eastAsia" w:asciiTheme="minorEastAsia" w:hAnsiTheme="minorEastAsia" w:cstheme="minorEastAsia"/>
          <w:sz w:val="24"/>
          <w:szCs w:val="24"/>
        </w:rPr>
        <w:t xml:space="preserve">手动添加，政策可维护其限制条件（提醒和控制）。</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支持西药库、账簿、剂型类别、生产厂家、供货单位、药库、库位编码等的配置维护。</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9、药品信息</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药品属性支持大小包装之间的转换。</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支持国家基础药品目录。</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提供药品附加信息管理。</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提供增加新药通知功能。</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支持辅助用药控制功能。</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麻精药品</w:t>
      </w:r>
      <w:r>
        <w:rPr>
          <w:rFonts w:hint="eastAsia" w:asciiTheme="minorEastAsia" w:hAnsiTheme="minorEastAsia" w:cstheme="minorEastAsia"/>
          <w:sz w:val="24"/>
          <w:szCs w:val="24"/>
        </w:rPr>
        <w:t xml:space="preserve">显示不同颜色的标记；基本药物显示标记提醒等，同种药品不同厂家显示。</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10、药库账簿对账处理</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提供西药库对账功能，</w:t>
      </w:r>
      <w:r>
        <w:rPr>
          <w:rFonts w:hint="eastAsia" w:asciiTheme="minorEastAsia" w:hAnsiTheme="minorEastAsia" w:cstheme="minorEastAsia"/>
          <w:sz w:val="24"/>
          <w:szCs w:val="24"/>
        </w:rPr>
        <w:t xml:space="preserve">方便药库人员</w:t>
      </w:r>
      <w:r>
        <w:rPr>
          <w:rFonts w:hint="eastAsia" w:asciiTheme="minorEastAsia" w:hAnsiTheme="minorEastAsia" w:cstheme="minorEastAsia"/>
          <w:sz w:val="24"/>
          <w:szCs w:val="24"/>
        </w:rPr>
        <w:t xml:space="preserve">有效管理。</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提供前台错误单据查询功能。</w:t>
      </w:r>
      <w:r/>
    </w:p>
    <w:p>
      <w:pPr>
        <w:ind w:firstLine="482"/>
        <w:jc w:val="left"/>
        <w:keepLines/>
        <w:keepNext/>
        <w:spacing w:line="400" w:lineRule="exact"/>
        <w:widowControl/>
        <w:rPr>
          <w:rFonts w:asciiTheme="minorEastAsia" w:hAnsiTheme="minorEastAsia" w:cstheme="minorEastAsia"/>
          <w:b/>
          <w:bCs/>
          <w:sz w:val="24"/>
          <w:szCs w:val="24"/>
        </w:rPr>
        <w:outlineLvl w:val="2"/>
      </w:pPr>
      <w:r/>
      <w:bookmarkStart w:id="17" w:name="_Toc172053643"/>
      <w:r>
        <w:rPr>
          <w:rFonts w:hint="eastAsia" w:asciiTheme="minorEastAsia" w:hAnsiTheme="minorEastAsia" w:cstheme="minorEastAsia"/>
          <w:b/>
          <w:bCs/>
          <w:sz w:val="24"/>
          <w:szCs w:val="24"/>
        </w:rPr>
        <w:t xml:space="preserve">4.1.3中药库信息系统</w:t>
      </w:r>
      <w:bookmarkEnd w:id="17"/>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1、入库处理</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提供中药品入库单处理、库房验收、财务验收、付款处理、采购历史查询等功能。</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提供中药进货价格、批发价格、零售价格三种方式供选择。</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支持对某一采购单进行整体退回，即自动产生退库单。</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允许修改发票号码，支持货到票未到。</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2、出库处理</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提供中药出库处理（科室领用、盘亏等），支持药房退回中药库药品的出库处理，提供出库方式的汇总、科室消耗的汇总等功能。</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中药库出库零库存单据可以录入保存，但不允许出库。</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支持引入入库单，无需再次输入。</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3、调价处理</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支持中药调价处理、调价历史、调价差额汇总。</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支持中药国家调价、企业调价、进货调价。支持中药零售价调价、进货价调价、批发价调价等。</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支持中药实时调价和定时调价，调价后可将中药信息和中药库、药房在库药品价格进行调整。</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提供相关的调价报表，用于统计查询。</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4、采购计划</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支持根据中药库实际情况进行采购计划的制定，能够提供计划编制、计划审批、计划执行、计划评估等功能。</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支持根据每周销量情况生成采购计划单。</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5、库存管理</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提供中药库药品的养护、盘点功能，中药养护支持按库位与类别对药品进行养护。</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中药盘点支持ABC分类法、随机抽样法两种盘点方法。</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支持对不同状态的中药库存动态管理。</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6、月结处理</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支持统计中药库所有药品当月的结存数量与结存金额，将本月结存作为下一月的上月结存，下一月的发生金额从零开始。</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7、综合查询</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支持全员及各中药库的药品库存查询，提供采购历史、会计账簿、保管员账簿、财务月报、收发存表、采购销售分析、失效药品查询、基本药物统计、特殊药品统计、中药周转率等统计查询功能。</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支持财务账和实物账的分开处理，对应账簿分别为会计账簿与保管员账簿。</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提供全院药品滞销与畅销报表，统计长期不用的药品。</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特殊管理药品（麻醉、精一、精二等）日报表、月报表</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8、配置维护</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药品信息可配置维护自选产地、特殊人群用药、用药限制、药品政策等，药品政策可手动添加，政策可维护其限制条件（提醒和控制）。</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支持中药库、账簿、剂型类别、生产厂家、供货单位、药库、库位编码等的配置维护。</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9、药品信息</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药品属性支持大小包装之间的转换。</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支持国家基础药品目录。</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提供药品附加信息管理。</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提供增加新药通知功能。</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支持辅助用药控制功能。</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10、药库账簿对账处理</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提供中药库对账功能，</w:t>
      </w:r>
      <w:r>
        <w:rPr>
          <w:rFonts w:hint="eastAsia" w:asciiTheme="minorEastAsia" w:hAnsiTheme="minorEastAsia" w:cstheme="minorEastAsia"/>
          <w:sz w:val="24"/>
          <w:szCs w:val="24"/>
        </w:rPr>
        <w:t xml:space="preserve">方便药库人员</w:t>
      </w:r>
      <w:r>
        <w:rPr>
          <w:rFonts w:hint="eastAsia" w:asciiTheme="minorEastAsia" w:hAnsiTheme="minorEastAsia" w:cstheme="minorEastAsia"/>
          <w:sz w:val="24"/>
          <w:szCs w:val="24"/>
        </w:rPr>
        <w:t xml:space="preserve">有效管理。</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提供前台错误单据查询功能。</w:t>
      </w:r>
      <w:r/>
    </w:p>
    <w:p>
      <w:pPr>
        <w:ind w:firstLine="482"/>
        <w:jc w:val="left"/>
        <w:keepLines/>
        <w:keepNext/>
        <w:spacing w:line="400" w:lineRule="exact"/>
        <w:widowControl/>
        <w:rPr>
          <w:rFonts w:asciiTheme="minorEastAsia" w:hAnsiTheme="minorEastAsia" w:cstheme="minorEastAsia"/>
          <w:b/>
          <w:bCs/>
          <w:sz w:val="24"/>
          <w:szCs w:val="24"/>
        </w:rPr>
        <w:outlineLvl w:val="2"/>
      </w:pPr>
      <w:r/>
      <w:bookmarkStart w:id="18" w:name="_Toc172053644"/>
      <w:r>
        <w:rPr>
          <w:rFonts w:hint="eastAsia" w:asciiTheme="minorEastAsia" w:hAnsiTheme="minorEastAsia" w:cstheme="minorEastAsia"/>
          <w:b/>
          <w:bCs/>
          <w:sz w:val="24"/>
          <w:szCs w:val="24"/>
        </w:rPr>
        <w:t xml:space="preserve">4.1.4门诊西药房信息系统</w:t>
      </w:r>
      <w:bookmarkEnd w:id="18"/>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1、门急诊业务</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提供门急诊直接发药（支持缺货药品医生无法开具处方）、配药发药、配药核对、账户发药、取消发药、退药退费等西药房基础功能。</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支持预发药。</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发药窗口信息集成于发药界面，可设置窗口开关状态。</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提供西药处方转移功能，可将处方转移至其他药房。</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支持取消退药功能。</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提供配药专窗和发药专窗。</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提供西药房处方划价功能，可在西药房直接录入处方划价，也可通过门诊号码调入处方划价。</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提供合理用药接口。</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发药界面仅显示由当前药房负责发药的已收费未发药西药处方，发药后的西药处方不再显示。</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支持发药效期设置，已经过发药效期的西药处方不在界面显示。</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★提供发票或者处方号码、姓名快速定位列表，提供发票二</w:t>
      </w:r>
      <w:r>
        <w:rPr>
          <w:rFonts w:hint="eastAsia" w:asciiTheme="minorEastAsia" w:hAnsiTheme="minorEastAsia" w:cstheme="minorEastAsia"/>
          <w:sz w:val="24"/>
          <w:szCs w:val="24"/>
        </w:rPr>
        <w:t xml:space="preserve">维码通过扫码</w:t>
      </w:r>
      <w:r>
        <w:rPr>
          <w:rFonts w:hint="eastAsia" w:asciiTheme="minorEastAsia" w:hAnsiTheme="minorEastAsia" w:cstheme="minorEastAsia"/>
          <w:sz w:val="24"/>
          <w:szCs w:val="24"/>
        </w:rPr>
        <w:t xml:space="preserve">进行定位，按收费时间排序。(同一名患者的处方排序在一起，避免漏发)</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提供西药处方基本信息概览：姓名、医师、科室、开方日期、处方号码、发药日期、发票号码。</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提供窗口开关功能：能显示当前窗口编号，并对窗口进行开关，窗口关闭后再收费的西药处方不在该窗口显示。</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支持发药界面自动刷新：用户可以设置界面是否自动刷新，以及刷新时间（默认设置为3秒）；也可以手动刷新处方信息；</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支持多窗口发药，西药处方按数量自动平均发送到各个开启的发药窗口，一张西药处方只能在一个窗口发药。</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支持显示当前药房所有未发药西药处方。</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门诊发药按发票选择，门诊药房发药可以按发票号码对同一张发票的所有处方进行发药处理（可以系统选项设置）。(实现扫发票码跳出该发票对应全部处方)</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账户病人支持一卡通发药。</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提供西药房处方划价功能，西药房可以将医生开的手工西药处方单录入到系统从而产生划价单。</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支持通过审方知识库对门诊西药处方进行审方处理(对特殊管理药品，重点如麻醉、精神药品等设置最高数量限制)，审核通过的才能进行发药。</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支持发药与西药处方对账处理，方便西药房人员管理药品。</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系统支持药品冷链管理并有记录。</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系统支持对拆零药品的追溯码进行自动添加。</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2、药房库存管理</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期初数据录入、药品申领（支持申领药品时看见药库库存）、申领退药、出入库处理、调拨（药房之间的调拨单打印需有申领和确认药师姓名，打印出的调拨单标题上要显示哪个药房，是调拨申请单还是调拨出库单）、盘点、日结（特殊管理药品（麻醉、精一、精二等））、月结等西药库房管理功能。</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支持同级西药房之间西药调拨。</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支持药品养护，提供药房破损、变质、过期等药品的报废处理。</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支持手工申领和智能申领两种方式。药房智能申领功能能够根据一段时间内的消耗数</w:t>
      </w:r>
      <w:r>
        <w:rPr>
          <w:rFonts w:hint="eastAsia" w:asciiTheme="minorEastAsia" w:hAnsiTheme="minorEastAsia" w:cstheme="minorEastAsia"/>
          <w:sz w:val="24"/>
          <w:szCs w:val="24"/>
        </w:rPr>
        <w:t xml:space="preserve">量，利用正态分布公式自动计算</w:t>
      </w:r>
      <w:r>
        <w:rPr>
          <w:rFonts w:hint="eastAsia" w:asciiTheme="minorEastAsia" w:hAnsiTheme="minorEastAsia" w:cstheme="minorEastAsia"/>
          <w:sz w:val="24"/>
          <w:szCs w:val="24"/>
        </w:rPr>
        <w:t xml:space="preserve">高低储和需要</w:t>
      </w:r>
      <w:r>
        <w:rPr>
          <w:rFonts w:hint="eastAsia" w:asciiTheme="minorEastAsia" w:hAnsiTheme="minorEastAsia" w:cstheme="minorEastAsia"/>
          <w:sz w:val="24"/>
          <w:szCs w:val="24"/>
        </w:rPr>
        <w:t xml:space="preserve">申领的数量，直接生成申领单 。</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支持多人盘点汇总的方式，每人保存各自盘点单并可查询，可按库位、批次、包装等盘点。</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月</w:t>
      </w:r>
      <w:r>
        <w:rPr>
          <w:rFonts w:hint="eastAsia" w:asciiTheme="minorEastAsia" w:hAnsiTheme="minorEastAsia" w:cstheme="minorEastAsia"/>
          <w:sz w:val="24"/>
          <w:szCs w:val="24"/>
        </w:rPr>
        <w:t xml:space="preserve">结无法</w:t>
      </w:r>
      <w:r>
        <w:rPr>
          <w:rFonts w:hint="eastAsia" w:asciiTheme="minorEastAsia" w:hAnsiTheme="minorEastAsia" w:cstheme="minorEastAsia"/>
          <w:sz w:val="24"/>
          <w:szCs w:val="24"/>
        </w:rPr>
        <w:t xml:space="preserve">进行时能够提示未完成的单据信息，可取消最后一次月结记录。</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支持当批次药品存量小于一次使用量时，按先进先出原则，将早的批次药品先出完。</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可以禁用库存内药品，被禁用的药品库存不能进行门诊或者住院发药处理。</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支持药房将某一产地的药品全部禁用，禁用后该产地的药品不能使用。</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支持药房将同一批次的某类药品全部禁用，禁用后的药品是否使用，药房可以进行配置，如：药房可以设置在缺药时使用禁用药品。</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支持药房库存缺货时，医生无法开具处方</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3、统计查询与信息维护</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支持自动获取药</w:t>
      </w:r>
      <w:r>
        <w:rPr>
          <w:rFonts w:hint="eastAsia" w:asciiTheme="minorEastAsia" w:hAnsiTheme="minorEastAsia" w:cstheme="minorEastAsia"/>
          <w:sz w:val="24"/>
          <w:szCs w:val="24"/>
        </w:rPr>
        <w:t xml:space="preserve">库维护</w:t>
      </w:r>
      <w:r>
        <w:rPr>
          <w:rFonts w:hint="eastAsia" w:asciiTheme="minorEastAsia" w:hAnsiTheme="minorEastAsia" w:cstheme="minorEastAsia"/>
          <w:sz w:val="24"/>
          <w:szCs w:val="24"/>
        </w:rPr>
        <w:t xml:space="preserve">的药品信息。</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支持药品批次管理。</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提供药品有效期自动报警功能，支持统计过期药品的品种数和金额，提供库存量提示功能。</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支持多个门（急）诊西药房管理。</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支持三级库房管理。</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提供西药房库存、药品价格信息、门诊发药、调拨历史、药房账簿、、汇总月报、库存日报、失效报警、代煎药发药等基本统计查询。</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提供药房对账工具，通过入出库业务推算数量、日志入出推算数量、系统库存数量、实际清点库存数量，以金额来判断是否存在账簿问题，并可修正账簿，记录修正日志。</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处方发药查询可按某一字段精确定位查询。</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提供系统对</w:t>
      </w:r>
      <w:r>
        <w:rPr>
          <w:rFonts w:hint="eastAsia" w:asciiTheme="minorEastAsia" w:hAnsiTheme="minorEastAsia" w:cstheme="minorEastAsia"/>
          <w:sz w:val="24"/>
          <w:szCs w:val="24"/>
        </w:rPr>
        <w:t xml:space="preserve">账</w:t>
      </w:r>
      <w:r>
        <w:rPr>
          <w:rFonts w:hint="eastAsia" w:asciiTheme="minorEastAsia" w:hAnsiTheme="minorEastAsia" w:cstheme="minorEastAsia"/>
          <w:sz w:val="24"/>
          <w:szCs w:val="24"/>
        </w:rPr>
        <w:t xml:space="preserve">功能，支持校对账目与库存的平衡关系。</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4、药房支持特殊药品的每日日报（如麻醉、精神）</w:t>
      </w:r>
      <w:r/>
    </w:p>
    <w:p>
      <w:pPr>
        <w:ind w:firstLine="482"/>
        <w:jc w:val="left"/>
        <w:keepLines/>
        <w:keepNext/>
        <w:spacing w:line="400" w:lineRule="exact"/>
        <w:widowControl/>
        <w:rPr>
          <w:rFonts w:asciiTheme="minorEastAsia" w:hAnsiTheme="minorEastAsia" w:cstheme="minorEastAsia"/>
          <w:b/>
          <w:bCs/>
          <w:sz w:val="24"/>
          <w:szCs w:val="24"/>
        </w:rPr>
        <w:outlineLvl w:val="2"/>
      </w:pPr>
      <w:r/>
      <w:bookmarkStart w:id="19" w:name="_Toc172053645"/>
      <w:r>
        <w:rPr>
          <w:rFonts w:hint="eastAsia" w:asciiTheme="minorEastAsia" w:hAnsiTheme="minorEastAsia" w:cstheme="minorEastAsia"/>
          <w:b/>
          <w:bCs/>
          <w:sz w:val="24"/>
          <w:szCs w:val="24"/>
        </w:rPr>
        <w:t xml:space="preserve">4.1.5门诊中药房信息系统</w:t>
      </w:r>
      <w:bookmarkEnd w:id="19"/>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1、门急诊业务</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提供门急诊直接发药、配药发药、配药核对、账户发药、取消发药、退药退费等中药房基础功能。</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支持预发药。</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发药窗口信息集成于发药界面，可设置窗口开关状态。</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提供中药处方转移功能，可将中药处方转移至其他中药房。</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支持取消退药功能。</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提供配药专窗和发药专窗。</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提供中药房处方划价功能，可分中成药、草药在药房直接录入处方划价，也可通过门诊号码导入处方划价，草药方可修改贴数。</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支持在中草药收取费用时，同时代煎药费。</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提供合理用药接口。</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发药界面仅显示由当前中药房负责发药的已收费未发药的中药处方，发药后的中药处方不再显示。</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支持发药效期设置，已经过发药效期的中药处方不在界面显示。</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提供发票或者处方号码、姓名快速定位列表，按收费时间排序。</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提供中药处方基本信息概览：姓名、医师、科室、开方日期、处方号码、发药日期、发票号码、代煎药标志、帖数（中药处方）。</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提供窗口开关功能：能显示当前窗口编号，并对窗口进行开关，窗口关闭后再收费的处方不在该窗口显示。</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支持发药界面自动刷新：用户可以设置界面是否自动刷新，以及刷新时间（默认设置为3秒）；也可以手动刷新处方信息；</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支持多窗口发药，中药处方按数量自动平均发送到各个开启的发药窗口，一张中药处方只能在一个窗口发药。</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支持显示当前药房所有未发药中药处方。</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门诊发药按发票选择，门诊中药房发药可以按发票号码对同一张发票的所有处方进行发药处理（可以系统选项设置）。</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账户病人支持一卡通发药。</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提供中药房处方划价功能，药房可以将医生开的手工处方单录入到系统从而产生划价单。</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支持通过审方知识库对门诊处方进行审方处理，审核通过的才能进行发药。</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支持发药与中药处方对账处理，方便药房人员管理药品。</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2、药房库存管理</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提供期初数据录入、药品申领、申领退药、出入库处理、调拨、盘点、日结、月结等药品库房管理功能。</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支持同级药房之间药品调拨。</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支持中药药品养护，提供药房破损、变质、过期等药品的报废处理。</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支持手工申领和智能申领两种方式。药房智能申领功能能够根据一段时间内的消耗数量，利用正态分布公式自动计算</w:t>
      </w:r>
      <w:r>
        <w:rPr>
          <w:rFonts w:hint="eastAsia" w:asciiTheme="minorEastAsia" w:hAnsiTheme="minorEastAsia" w:cstheme="minorEastAsia"/>
          <w:sz w:val="24"/>
          <w:szCs w:val="24"/>
        </w:rPr>
        <w:t xml:space="preserve">高低储和需要</w:t>
      </w:r>
      <w:r>
        <w:rPr>
          <w:rFonts w:hint="eastAsia" w:asciiTheme="minorEastAsia" w:hAnsiTheme="minorEastAsia" w:cstheme="minorEastAsia"/>
          <w:sz w:val="24"/>
          <w:szCs w:val="24"/>
        </w:rPr>
        <w:t xml:space="preserve">申领的数量，直接生成申领单 。</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支持多人盘点汇总的方式，每人保存各自盘点单并可查询，可按库位、批次、包装等盘点。</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月</w:t>
      </w:r>
      <w:r>
        <w:rPr>
          <w:rFonts w:hint="eastAsia" w:asciiTheme="minorEastAsia" w:hAnsiTheme="minorEastAsia" w:cstheme="minorEastAsia"/>
          <w:sz w:val="24"/>
          <w:szCs w:val="24"/>
        </w:rPr>
        <w:t xml:space="preserve">结无法</w:t>
      </w:r>
      <w:r>
        <w:rPr>
          <w:rFonts w:hint="eastAsia" w:asciiTheme="minorEastAsia" w:hAnsiTheme="minorEastAsia" w:cstheme="minorEastAsia"/>
          <w:sz w:val="24"/>
          <w:szCs w:val="24"/>
        </w:rPr>
        <w:t xml:space="preserve">进行时能够提示未完成的单据信息，可取消最后一次月结记录。</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支持当批次药品存量小于一次使用量时，按先进先出原则，将早的批次药品先出完。</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可以禁用库存内药品，被禁用的药品库存不能进行门诊或者住院发药处理。</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支持药房将某一产地的药品全部禁用，禁用后该产地的药品不能使用。</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支持药房将同一批次的某类药品全部禁用，禁用后的药品是否使用，药房可以进行配置，如：药房可以设置在缺药时使用禁用药品。</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3、统计查询与信息维护</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支持自动获取药</w:t>
      </w:r>
      <w:r>
        <w:rPr>
          <w:rFonts w:hint="eastAsia" w:asciiTheme="minorEastAsia" w:hAnsiTheme="minorEastAsia" w:cstheme="minorEastAsia"/>
          <w:sz w:val="24"/>
          <w:szCs w:val="24"/>
        </w:rPr>
        <w:t xml:space="preserve">库维护</w:t>
      </w:r>
      <w:r>
        <w:rPr>
          <w:rFonts w:hint="eastAsia" w:asciiTheme="minorEastAsia" w:hAnsiTheme="minorEastAsia" w:cstheme="minorEastAsia"/>
          <w:sz w:val="24"/>
          <w:szCs w:val="24"/>
        </w:rPr>
        <w:t xml:space="preserve">的药品信息。</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支持药品批次管理。</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提供药品有效期自动报警功能，支持统计过期药品的品种数和金额，提供库存量提示功能。</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支持多个门（急）诊中药房管理。</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支持三级库房管理。</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提供药房库存、药品价格信息、门诊发药、调拨历史、药房账簿、、汇总月报、库存日报、失效报警、代煎药发药等基本统计查询。</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提供药房对账工具，通过入出库业务推算数量、日志入出推算数量、系统库存数量、实际清点库存数量，以金额来判断是否存在账簿问题，并可修正账簿，记录修正日志。</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处方发药查询可按某一字段精确定位查询。</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提供系统对</w:t>
      </w:r>
      <w:r>
        <w:rPr>
          <w:rFonts w:hint="eastAsia" w:asciiTheme="minorEastAsia" w:hAnsiTheme="minorEastAsia" w:cstheme="minorEastAsia"/>
          <w:sz w:val="24"/>
          <w:szCs w:val="24"/>
        </w:rPr>
        <w:t xml:space="preserve">账</w:t>
      </w:r>
      <w:r>
        <w:rPr>
          <w:rFonts w:hint="eastAsia" w:asciiTheme="minorEastAsia" w:hAnsiTheme="minorEastAsia" w:cstheme="minorEastAsia"/>
          <w:sz w:val="24"/>
          <w:szCs w:val="24"/>
        </w:rPr>
        <w:t xml:space="preserve">功能，支持校对账目与库存的平衡关系。</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特殊管理药品（麻醉、精一、精二等）日报表、月报表</w:t>
      </w:r>
      <w:r/>
    </w:p>
    <w:p>
      <w:pPr>
        <w:ind w:firstLine="482"/>
        <w:jc w:val="left"/>
        <w:keepLines/>
        <w:keepNext/>
        <w:spacing w:line="400" w:lineRule="exact"/>
        <w:widowControl/>
        <w:rPr>
          <w:rFonts w:asciiTheme="minorEastAsia" w:hAnsiTheme="minorEastAsia" w:cstheme="minorEastAsia"/>
          <w:b/>
          <w:bCs/>
          <w:sz w:val="24"/>
          <w:szCs w:val="24"/>
        </w:rPr>
        <w:outlineLvl w:val="2"/>
      </w:pPr>
      <w:r/>
      <w:bookmarkStart w:id="20" w:name="_Toc172053646"/>
      <w:r>
        <w:rPr>
          <w:rFonts w:hint="eastAsia" w:asciiTheme="minorEastAsia" w:hAnsiTheme="minorEastAsia" w:cstheme="minorEastAsia"/>
          <w:b/>
          <w:bCs/>
          <w:sz w:val="24"/>
          <w:szCs w:val="24"/>
        </w:rPr>
        <w:t xml:space="preserve">4.1.6门诊收费信息系统</w:t>
      </w:r>
      <w:bookmarkEnd w:id="20"/>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1、划价收费</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提供收费结算，发票作废，退费处理等基本费用业务功能。</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可根据病人的门诊号码或卡号调出病人，自动接收药品或医技单。</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支持增加代煎药费功能。</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支持自动找零，提供银联等接口，一次付费支持多种付款方式累加。</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★提供预保存功能，保存临时输入但没有收费的检查单和处方，在下次调入该病人时自动调入已录入的处方。</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支持门诊处方部分药品退药退费，自动作废原有发票，生成新的发票。</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提供收费员结账日报，门诊收费汇总日报功能，可按挂号收费、项目分类和未结账收费等分别查看。</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支持收费双屏显示功能。</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支持患者开单、费用补录功能。</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2、业务查询与统计</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提供收款发票、账户信息等查询功能。</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提供门诊医生核算、性质费用、收费员工作量、操作员日报等多种报表查询与统计。</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3、维护设置</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提供管理员发票维护功能，非管理员只能看到个人申领的发票，管理员有维护全部发票的维护权限。</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提供账户缴款、退款号码维护功能。</w:t>
      </w:r>
      <w:r/>
    </w:p>
    <w:p>
      <w:pPr>
        <w:ind w:firstLine="482"/>
        <w:jc w:val="left"/>
        <w:keepLines/>
        <w:keepNext/>
        <w:spacing w:line="400" w:lineRule="exact"/>
        <w:widowControl/>
        <w:rPr>
          <w:rFonts w:asciiTheme="minorEastAsia" w:hAnsiTheme="minorEastAsia" w:cstheme="minorEastAsia"/>
          <w:b/>
          <w:bCs/>
          <w:sz w:val="24"/>
          <w:szCs w:val="24"/>
        </w:rPr>
        <w:outlineLvl w:val="2"/>
      </w:pPr>
      <w:r/>
      <w:bookmarkStart w:id="21" w:name="_Toc172053647"/>
      <w:r>
        <w:rPr>
          <w:rFonts w:hint="eastAsia" w:asciiTheme="minorEastAsia" w:hAnsiTheme="minorEastAsia" w:cstheme="minorEastAsia"/>
          <w:b/>
          <w:bCs/>
          <w:sz w:val="24"/>
          <w:szCs w:val="24"/>
        </w:rPr>
        <w:t xml:space="preserve">4.1.7住院结算信息系统</w:t>
      </w:r>
      <w:bookmarkEnd w:id="21"/>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1、入院登记</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提供一般入院登记、预约调入登记、根据病人档案调入病人等入院方式。</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★支持门诊病人、新病人、老病人调入登记。入院登记时允许分配床位和预缴款。入院登记信息包含：患者基本信息登记、入住科室、病区、入院日期、入院情况、预交款信息等。</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支持欠费病人再次入院增加欠费提示。</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支持入院登记床位分配后，则需将</w:t>
      </w:r>
      <w:r>
        <w:rPr>
          <w:rFonts w:hint="eastAsia" w:asciiTheme="minorEastAsia" w:hAnsiTheme="minorEastAsia" w:cstheme="minorEastAsia"/>
          <w:sz w:val="24"/>
          <w:szCs w:val="24"/>
        </w:rPr>
        <w:t xml:space="preserve">入院证</w:t>
      </w:r>
      <w:r>
        <w:rPr>
          <w:rFonts w:hint="eastAsia" w:asciiTheme="minorEastAsia" w:hAnsiTheme="minorEastAsia" w:cstheme="minorEastAsia"/>
          <w:sz w:val="24"/>
          <w:szCs w:val="24"/>
        </w:rPr>
        <w:t xml:space="preserve">关联的门诊检查单转成住院检查单，并生成医嘱。</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2、预约登记</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提供预约登记功能，对于不及时住院或者没有闲空床位的患者，允许提前预约入院，预约登记信息包含：患者基本信息、预约科室、预约日期、入院日期等。</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3、档案管理</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提供新建患者档案、查询档案、修改档案、删除档案功能，住院档案和门诊档案统一管理，同一个病人只允许有一份档案。</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4、病人管理</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提供对全院在</w:t>
      </w:r>
      <w:r>
        <w:rPr>
          <w:rFonts w:hint="eastAsia" w:asciiTheme="minorEastAsia" w:hAnsiTheme="minorEastAsia" w:cstheme="minorEastAsia"/>
          <w:sz w:val="24"/>
          <w:szCs w:val="24"/>
        </w:rPr>
        <w:t xml:space="preserve">院病人</w:t>
      </w:r>
      <w:r>
        <w:rPr>
          <w:rFonts w:hint="eastAsia" w:asciiTheme="minorEastAsia" w:hAnsiTheme="minorEastAsia" w:cstheme="minorEastAsia"/>
          <w:sz w:val="24"/>
          <w:szCs w:val="24"/>
        </w:rPr>
        <w:t xml:space="preserve">的统一管理功能，包括病人性质转换、已登记病人注销、首页修改/查询、病人账卡查询、费用修正、入院日期变更等功能。</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5、床位管理</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提供对全院床位维护、分配功能，包括床位设置、分配床位、</w:t>
      </w:r>
      <w:r>
        <w:rPr>
          <w:rFonts w:hint="eastAsia" w:asciiTheme="minorEastAsia" w:hAnsiTheme="minorEastAsia" w:cstheme="minorEastAsia"/>
          <w:sz w:val="24"/>
          <w:szCs w:val="24"/>
        </w:rPr>
        <w:t xml:space="preserve">转床转科</w:t>
      </w:r>
      <w:r>
        <w:rPr>
          <w:rFonts w:hint="eastAsia" w:asciiTheme="minorEastAsia" w:hAnsiTheme="minorEastAsia" w:cstheme="minorEastAsia"/>
          <w:sz w:val="24"/>
          <w:szCs w:val="24"/>
        </w:rPr>
        <w:t xml:space="preserve">、包床处理、</w:t>
      </w:r>
      <w:r>
        <w:rPr>
          <w:rFonts w:hint="eastAsia" w:asciiTheme="minorEastAsia" w:hAnsiTheme="minorEastAsia" w:cstheme="minorEastAsia"/>
          <w:sz w:val="24"/>
          <w:szCs w:val="24"/>
        </w:rPr>
        <w:t xml:space="preserve">退床处理</w:t>
      </w:r>
      <w:r>
        <w:rPr>
          <w:rFonts w:hint="eastAsia" w:asciiTheme="minorEastAsia" w:hAnsiTheme="minorEastAsia" w:cstheme="minorEastAsia"/>
          <w:sz w:val="24"/>
          <w:szCs w:val="24"/>
        </w:rPr>
        <w:t xml:space="preserve">、床位使用率的统计以及房间设置等功能。</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支持住院病人在被注销后，其病案号码能被回收使用。</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6、缴款管理</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提供缴款处理和缴款查询功能，支持现金、发票、刷卡等多种缴款方式。</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支持预交款管理。</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7、费用记账</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提供按病人记账、按项目记账、批量记账、退费记账及记账查询功能，对于漏计费的费用进行记账或者对于多记的费用进行退费处理。</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8、催款管理</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提供欠费清单和催款清单，对各病区或各科室已欠费的病人进行查询、对每一欠费病人的催款单进行打印。</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9、账户冻结管理和解冻管理</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支持账户冻结管理按照系统设置的欠费标准自动冻结欠费病人账户。</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提供解冻管理对某些特殊病人进行解除账户冻结管理，允许欠费诊疗。</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10、结算管理</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提供出院结算、中途结算、合并结算、退费结算、出院预结、出院终结。</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住院结算时允许调整收费精度，可以精确到元、角、分，默认为分。</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结算支持现金、支票、POS机等多种付款方式。</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支持在没有出院通知书的情况下，直接用预缴押金收据和费用清单到住院收费处结算。</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w:t>
      </w:r>
      <w:r>
        <w:rPr>
          <w:rFonts w:hint="eastAsia" w:asciiTheme="minorEastAsia" w:hAnsiTheme="minorEastAsia" w:cstheme="minorEastAsia"/>
          <w:sz w:val="24"/>
          <w:szCs w:val="24"/>
        </w:rPr>
        <w:t xml:space="preserve">出院预结手续</w:t>
      </w:r>
      <w:r>
        <w:rPr>
          <w:rFonts w:hint="eastAsia" w:asciiTheme="minorEastAsia" w:hAnsiTheme="minorEastAsia" w:cstheme="minorEastAsia"/>
          <w:sz w:val="24"/>
          <w:szCs w:val="24"/>
        </w:rPr>
        <w:t xml:space="preserve">；</w:t>
      </w:r>
      <w:r>
        <w:rPr>
          <w:rFonts w:hint="eastAsia" w:asciiTheme="minorEastAsia" w:hAnsiTheme="minorEastAsia" w:cstheme="minorEastAsia"/>
          <w:sz w:val="24"/>
          <w:szCs w:val="24"/>
        </w:rPr>
        <w:t xml:space="preserve">预结后</w:t>
      </w:r>
      <w:r>
        <w:rPr>
          <w:rFonts w:hint="eastAsia" w:asciiTheme="minorEastAsia" w:hAnsiTheme="minorEastAsia" w:cstheme="minorEastAsia"/>
          <w:sz w:val="24"/>
          <w:szCs w:val="24"/>
        </w:rPr>
        <w:t xml:space="preserve">，住院患者床位被腾空，可分配给其他病人使用；</w:t>
      </w:r>
      <w:r>
        <w:rPr>
          <w:rFonts w:hint="eastAsia" w:asciiTheme="minorEastAsia" w:hAnsiTheme="minorEastAsia" w:cstheme="minorEastAsia"/>
          <w:sz w:val="24"/>
          <w:szCs w:val="24"/>
        </w:rPr>
        <w:t xml:space="preserve">但预结</w:t>
      </w:r>
      <w:r>
        <w:rPr>
          <w:rFonts w:hint="eastAsia" w:asciiTheme="minorEastAsia" w:hAnsiTheme="minorEastAsia" w:cstheme="minorEastAsia"/>
          <w:sz w:val="24"/>
          <w:szCs w:val="24"/>
        </w:rPr>
        <w:t xml:space="preserve">病人在离院治疗期间仍可产生费用。</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出院预结病人</w:t>
      </w:r>
      <w:r>
        <w:rPr>
          <w:rFonts w:hint="eastAsia" w:asciiTheme="minorEastAsia" w:hAnsiTheme="minorEastAsia" w:cstheme="minorEastAsia"/>
          <w:sz w:val="24"/>
          <w:szCs w:val="24"/>
        </w:rPr>
        <w:t xml:space="preserve">可以办理出院终结手续；终结后，则不能再产生任何费用。</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支持将多个分开结算的同一病人发票合并打印在一张发票上。</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结算后，若发现部分结算费用错误，支持进行补记费处理或退费处理。 </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支持退费结算。已出院结算开票的病人可进行已记费部分的退费处理，也可对出院结算的病人进行补记费处理。</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11、结账报表</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提供日终结账、日结汇总、月终结账，</w:t>
      </w:r>
      <w:r>
        <w:rPr>
          <w:rFonts w:hint="eastAsia" w:asciiTheme="minorEastAsia" w:hAnsiTheme="minorEastAsia" w:cstheme="minorEastAsia"/>
          <w:sz w:val="24"/>
          <w:szCs w:val="24"/>
        </w:rPr>
        <w:t xml:space="preserve">取消日</w:t>
      </w:r>
      <w:r>
        <w:rPr>
          <w:rFonts w:hint="eastAsia" w:asciiTheme="minorEastAsia" w:hAnsiTheme="minorEastAsia" w:cstheme="minorEastAsia"/>
          <w:sz w:val="24"/>
          <w:szCs w:val="24"/>
        </w:rPr>
        <w:t xml:space="preserve">终结账、</w:t>
      </w:r>
      <w:r>
        <w:rPr>
          <w:rFonts w:hint="eastAsia" w:asciiTheme="minorEastAsia" w:hAnsiTheme="minorEastAsia" w:cstheme="minorEastAsia"/>
          <w:sz w:val="24"/>
          <w:szCs w:val="24"/>
        </w:rPr>
        <w:t xml:space="preserve">取消日结汇</w:t>
      </w:r>
      <w:r>
        <w:rPr>
          <w:rFonts w:hint="eastAsia" w:asciiTheme="minorEastAsia" w:hAnsiTheme="minorEastAsia" w:cstheme="minorEastAsia"/>
          <w:sz w:val="24"/>
          <w:szCs w:val="24"/>
        </w:rPr>
        <w:t xml:space="preserve">总、取消月终结账等功能。</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支持取消结账，可对结账的反向操作。</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12、报表查询</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提供在</w:t>
      </w:r>
      <w:r>
        <w:rPr>
          <w:rFonts w:hint="eastAsia" w:asciiTheme="minorEastAsia" w:hAnsiTheme="minorEastAsia" w:cstheme="minorEastAsia"/>
          <w:sz w:val="24"/>
          <w:szCs w:val="24"/>
        </w:rPr>
        <w:t xml:space="preserve">院资金</w:t>
      </w:r>
      <w:r>
        <w:rPr>
          <w:rFonts w:hint="eastAsia" w:asciiTheme="minorEastAsia" w:hAnsiTheme="minorEastAsia" w:cstheme="minorEastAsia"/>
          <w:sz w:val="24"/>
          <w:szCs w:val="24"/>
        </w:rPr>
        <w:t xml:space="preserve">对比表、结账汇总统计表、收入汇总统计表、医疗保险统计表、性质费用汇总表、单位费用汇总表、在</w:t>
      </w:r>
      <w:r>
        <w:rPr>
          <w:rFonts w:hint="eastAsia" w:asciiTheme="minorEastAsia" w:hAnsiTheme="minorEastAsia" w:cstheme="minorEastAsia"/>
          <w:sz w:val="24"/>
          <w:szCs w:val="24"/>
        </w:rPr>
        <w:t xml:space="preserve">院病人</w:t>
      </w:r>
      <w:r>
        <w:rPr>
          <w:rFonts w:hint="eastAsia" w:asciiTheme="minorEastAsia" w:hAnsiTheme="minorEastAsia" w:cstheme="minorEastAsia"/>
          <w:sz w:val="24"/>
          <w:szCs w:val="24"/>
        </w:rPr>
        <w:t xml:space="preserve">汇总表、出院病人汇总表、欠费病人汇总表、月结病人汇总表、住院收入核算表、医技收入核算表等住院报表。</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支持在</w:t>
      </w:r>
      <w:r>
        <w:rPr>
          <w:rFonts w:hint="eastAsia" w:asciiTheme="minorEastAsia" w:hAnsiTheme="minorEastAsia" w:cstheme="minorEastAsia"/>
          <w:sz w:val="24"/>
          <w:szCs w:val="24"/>
        </w:rPr>
        <w:t xml:space="preserve">院病人</w:t>
      </w:r>
      <w:r>
        <w:rPr>
          <w:rFonts w:hint="eastAsia" w:asciiTheme="minorEastAsia" w:hAnsiTheme="minorEastAsia" w:cstheme="minorEastAsia"/>
          <w:sz w:val="24"/>
          <w:szCs w:val="24"/>
        </w:rPr>
        <w:t xml:space="preserve">费用查询、在</w:t>
      </w:r>
      <w:r>
        <w:rPr>
          <w:rFonts w:hint="eastAsia" w:asciiTheme="minorEastAsia" w:hAnsiTheme="minorEastAsia" w:cstheme="minorEastAsia"/>
          <w:sz w:val="24"/>
          <w:szCs w:val="24"/>
        </w:rPr>
        <w:t xml:space="preserve">院费用</w:t>
      </w:r>
      <w:r>
        <w:rPr>
          <w:rFonts w:hint="eastAsia" w:asciiTheme="minorEastAsia" w:hAnsiTheme="minorEastAsia" w:cstheme="minorEastAsia"/>
          <w:sz w:val="24"/>
          <w:szCs w:val="24"/>
        </w:rPr>
        <w:t xml:space="preserve">清单查询、历史结算查询、发票合并打印、票据使用查询、住院病人查询、预约病人查询、病人档案查询。</w:t>
      </w:r>
      <w:r/>
    </w:p>
    <w:p>
      <w:pPr>
        <w:ind w:firstLine="482"/>
        <w:jc w:val="left"/>
        <w:keepLines/>
        <w:keepNext/>
        <w:spacing w:line="400" w:lineRule="exact"/>
        <w:widowControl/>
        <w:rPr>
          <w:rFonts w:asciiTheme="minorEastAsia" w:hAnsiTheme="minorEastAsia" w:cstheme="minorEastAsia"/>
          <w:b/>
          <w:bCs/>
          <w:sz w:val="24"/>
          <w:szCs w:val="24"/>
        </w:rPr>
        <w:outlineLvl w:val="2"/>
      </w:pPr>
      <w:r/>
      <w:bookmarkStart w:id="22" w:name="_Toc172053648"/>
      <w:r>
        <w:rPr>
          <w:rFonts w:hint="eastAsia" w:asciiTheme="minorEastAsia" w:hAnsiTheme="minorEastAsia" w:cstheme="minorEastAsia"/>
          <w:b/>
          <w:bCs/>
          <w:sz w:val="24"/>
          <w:szCs w:val="24"/>
        </w:rPr>
        <w:t xml:space="preserve">4.1.8日间手术管理系统</w:t>
      </w:r>
      <w:bookmarkEnd w:id="22"/>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1、门诊</w:t>
      </w:r>
      <w:r>
        <w:rPr>
          <w:rFonts w:hint="eastAsia" w:asciiTheme="minorEastAsia" w:hAnsiTheme="minorEastAsia" w:cstheme="minorEastAsia"/>
          <w:sz w:val="24"/>
          <w:szCs w:val="24"/>
        </w:rPr>
        <w:t xml:space="preserve">医生诊间业务</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支持门诊医生给病人开具日间手术申请单及电子住院证，病人凭电子住院证预约床位手术并办理“预住院”手续。</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提供日间手术病人完成术前检验、检查，医生根据报告结果重新评估病人是否适合进行日间手术。</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支持患者的检查、检验医嘱补开。</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2、日间手术管理中心</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提供调入门诊医生开具的日间手术住院证，对患者进行预约登记，包括住院床位预约和住院手术预约。</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支持办理入院登记手续提前入住日间管理中心的虚拟床位，并缴纳住院预交金。</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支持对日间手术患者进行符合该病种或手术的术前宣教，按照一定的模板填写宣教内容，并打印给患者以供了解。</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支持对患者术前检查项目进行集中统一预约。</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支持提前一天通知患者到医院办理正式住院，做好手术相关准备。</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提供日间手术随访记录模板，能够按照标准化的出院随访模板登记手术病人随访内容，并给予指导，帮助患者尽快恢复。</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3、日间手术室管理</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提供对日间手术医生进行排班，系统根据医生排班情况实现自动预约。</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支持主管医生对收治的日间手术病人进行手术安排，即安排手术当天做第几台手术。</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支持对日间手术患者手术医嘱和费用管理。</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提供标准的评估模板对患者进行评估，符合标准者转各专科病房恢复。</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4、日间病房管理</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患者入住日间病房后，护士对手术病人进行护理评估，按照一定的模板填写评估内容。</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提供按照标准化的出院评估模板登记手术病人评估内容，判断患者是否满足出院评估的标准。</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5、日间统计分析</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统计全院日间手术病人信息，包括记录状态、日间类别、门诊号码、病人姓名、身份证号、病人性质、性别、出生日期、年龄、联系电话、挂号日期、挂号类别、就诊日期、手术申请日期、手术申请科室、手术申请医生、住院安排日期、住院科室、住院病区。</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支持手术室查询全院手术安排情况，手术医师查询个人手术安排情况。</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按申请科室/申请医生统计日间手术预约情况。</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支持按入院科室/入院病区统计日间手术入院情况。</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6、日间数据决策</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提供针对日间手术管理中的重点指标进行监测，包括日间手术病种数量、日间手术</w:t>
      </w:r>
      <w:r>
        <w:rPr>
          <w:rFonts w:hint="eastAsia" w:asciiTheme="minorEastAsia" w:hAnsiTheme="minorEastAsia" w:cstheme="minorEastAsia"/>
          <w:sz w:val="24"/>
          <w:szCs w:val="24"/>
        </w:rPr>
        <w:t xml:space="preserve">术</w:t>
      </w:r>
      <w:r>
        <w:rPr>
          <w:rFonts w:hint="eastAsia" w:asciiTheme="minorEastAsia" w:hAnsiTheme="minorEastAsia" w:cstheme="minorEastAsia"/>
          <w:sz w:val="24"/>
          <w:szCs w:val="24"/>
        </w:rPr>
        <w:t xml:space="preserve">式数量、日间手术科室数量、日间手术预约取消率、日间手术预约当日取消率等。</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7、日间病人追溯</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支持日间手术的各个关键环节进行全程监控，能实时掌握每一个患者的进展情况。</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支持通过</w:t>
      </w:r>
      <w:r>
        <w:rPr>
          <w:rFonts w:hint="eastAsia" w:asciiTheme="minorEastAsia" w:hAnsiTheme="minorEastAsia" w:cstheme="minorEastAsia"/>
          <w:sz w:val="24"/>
          <w:szCs w:val="24"/>
        </w:rPr>
        <w:t xml:space="preserve">扫病人</w:t>
      </w:r>
      <w:r>
        <w:rPr>
          <w:rFonts w:hint="eastAsia" w:asciiTheme="minorEastAsia" w:hAnsiTheme="minorEastAsia" w:cstheme="minorEastAsia"/>
          <w:sz w:val="24"/>
          <w:szCs w:val="24"/>
        </w:rPr>
        <w:t xml:space="preserve">腕带码、刷</w:t>
      </w:r>
      <w:r>
        <w:rPr>
          <w:rFonts w:hint="eastAsia" w:asciiTheme="minorEastAsia" w:hAnsiTheme="minorEastAsia" w:cstheme="minorEastAsia"/>
          <w:sz w:val="24"/>
          <w:szCs w:val="24"/>
        </w:rPr>
        <w:t xml:space="preserve">医</w:t>
      </w:r>
      <w:r>
        <w:rPr>
          <w:rFonts w:hint="eastAsia" w:asciiTheme="minorEastAsia" w:hAnsiTheme="minorEastAsia" w:cstheme="minorEastAsia"/>
          <w:sz w:val="24"/>
          <w:szCs w:val="24"/>
        </w:rPr>
        <w:t xml:space="preserve">保卡、输入住院号码等方式进行追溯查询。</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8、日间数据维护</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支持控制日间诊断准入控制。</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支持中国日间手术合作联盟推荐的日间手术标准，支持自定义本院可开展的日间手术。</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支持自定义本院可以做日间手术的科室。</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支持医生准入制度控制，支持自定义本院可进行日间手术的医师。</w:t>
      </w:r>
      <w:r/>
    </w:p>
    <w:p>
      <w:pPr>
        <w:ind w:firstLine="482"/>
        <w:jc w:val="left"/>
        <w:keepLines/>
        <w:keepNext/>
        <w:spacing w:line="400" w:lineRule="exact"/>
        <w:widowControl/>
        <w:rPr>
          <w:rFonts w:asciiTheme="minorEastAsia" w:hAnsiTheme="minorEastAsia" w:cstheme="minorEastAsia"/>
          <w:b/>
          <w:bCs/>
          <w:sz w:val="24"/>
          <w:szCs w:val="24"/>
        </w:rPr>
        <w:outlineLvl w:val="2"/>
      </w:pPr>
      <w:r/>
      <w:bookmarkStart w:id="23" w:name="_Toc172053649"/>
      <w:r>
        <w:rPr>
          <w:rFonts w:hint="eastAsia" w:asciiTheme="minorEastAsia" w:hAnsiTheme="minorEastAsia" w:cstheme="minorEastAsia"/>
          <w:b/>
          <w:bCs/>
          <w:sz w:val="24"/>
          <w:szCs w:val="24"/>
        </w:rPr>
        <w:t xml:space="preserve">4.1.9病区药房信息系统</w:t>
      </w:r>
      <w:bookmarkEnd w:id="23"/>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1、病区用药</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提供住院发药（系统发药与药房库存保持一致）、摆药（同种药品不同规格）、取药、病区退药等病区药房基本功能。</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支持发药时可按提交单按病人发药，也可按病人汇总发药。</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提供病区发药提醒功能，能够清楚提示当前的发药信息。（</w:t>
      </w:r>
      <w:r>
        <w:rPr>
          <w:rFonts w:hint="eastAsia" w:asciiTheme="minorEastAsia" w:hAnsiTheme="minorEastAsia" w:cstheme="minorEastAsia"/>
          <w:sz w:val="24"/>
          <w:szCs w:val="24"/>
        </w:rPr>
        <w:t xml:space="preserve">麻精药品</w:t>
      </w:r>
      <w:r>
        <w:rPr>
          <w:rFonts w:hint="eastAsia" w:asciiTheme="minorEastAsia" w:hAnsiTheme="minorEastAsia" w:cstheme="minorEastAsia"/>
          <w:sz w:val="24"/>
          <w:szCs w:val="24"/>
        </w:rPr>
        <w:t xml:space="preserve">显示不同颜色的标记；基本药物显示标记提醒等，同种药品不同厂家显示不同颜色标记）</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缓控释制剂支持后台设置剂量，自动拦截不合理剂量医嘱。并且对实际使用剂量和医生医嘱要符合发药实际情况。</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系统支持对拆零药品的追溯码进行自动添加。</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2、出院带药</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支持对长期、临时、急诊、出院带药医嘱进行过滤。</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出院带药取药支持先出院结算后再到药房取药。（连接摆药机设置天数，按天数摆药机打出应有份数）</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系统识别q8h、q6h、q12h、qid、qw、qod等的长期医嘱。</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3、病区退药</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支持通过参数控制是否启用病区退药退费分离设置，启用时间药房退药处理可以只退药不退费或只退费不退药，不启用时间退药需同时自动退费。</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支持对需要及时出院的患者采用先退费再退药模式处理，方便患者。</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4、库管业务</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支持扫码入库</w:t>
      </w:r>
      <w:r>
        <w:rPr>
          <w:rFonts w:hint="eastAsia" w:asciiTheme="minorEastAsia" w:hAnsiTheme="minorEastAsia" w:cstheme="minorEastAsia"/>
          <w:sz w:val="24"/>
          <w:szCs w:val="24"/>
        </w:rPr>
        <w:t xml:space="preserve">管理。</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支持扫码出库管理。</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支持同级药房之间药品调拨。</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支持同级药房调拨退药处理。</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支持PDA盘点处理。</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支持多人盘点汇总方式，每人保存各自盘点单并可查询，可按库位、批次、包装等盘点。</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支持精二药品</w:t>
      </w:r>
      <w:r>
        <w:rPr>
          <w:rFonts w:hint="eastAsia" w:asciiTheme="minorEastAsia" w:hAnsiTheme="minorEastAsia" w:cstheme="minorEastAsia"/>
          <w:sz w:val="24"/>
          <w:szCs w:val="24"/>
        </w:rPr>
        <w:t xml:space="preserve">进销存自动生成报表，并支持直接打印。</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支持手工申领和智能申领两种方式，药房智能申领功能能够根据一段时间内的消耗数量，利用正态分布公式自动计算</w:t>
      </w:r>
      <w:r>
        <w:rPr>
          <w:rFonts w:hint="eastAsia" w:asciiTheme="minorEastAsia" w:hAnsiTheme="minorEastAsia" w:cstheme="minorEastAsia"/>
          <w:sz w:val="24"/>
          <w:szCs w:val="24"/>
        </w:rPr>
        <w:t xml:space="preserve">高低储和需要</w:t>
      </w:r>
      <w:r>
        <w:rPr>
          <w:rFonts w:hint="eastAsia" w:asciiTheme="minorEastAsia" w:hAnsiTheme="minorEastAsia" w:cstheme="minorEastAsia"/>
          <w:sz w:val="24"/>
          <w:szCs w:val="24"/>
        </w:rPr>
        <w:t xml:space="preserve">申领的数量，直接生成申领单。</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支持药品缺货时，医生无法开出医嘱。</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支持申领药品时看见药库库存，自动合并同一药品的账页，近期先出，支持当批次药品存量小于一次使用量时，按先进先出原则，将早的批次药品先出完。</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5、医嘱审核</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支持通过参数控制来启用住院医嘱审核。</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支持自动审医嘱和人工审核。</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审核医嘱支持对患者的基本信息进行查询。</w:t>
      </w:r>
      <w:r/>
    </w:p>
    <w:p>
      <w:pPr>
        <w:ind w:firstLine="482"/>
        <w:jc w:val="left"/>
        <w:keepLines/>
        <w:keepNext/>
        <w:spacing w:line="400" w:lineRule="exact"/>
        <w:widowControl/>
        <w:rPr>
          <w:rFonts w:asciiTheme="minorEastAsia" w:hAnsiTheme="minorEastAsia" w:cstheme="minorEastAsia"/>
          <w:b/>
          <w:bCs/>
          <w:sz w:val="24"/>
          <w:szCs w:val="24"/>
        </w:rPr>
        <w:outlineLvl w:val="2"/>
      </w:pPr>
      <w:r/>
      <w:bookmarkStart w:id="24" w:name="_Toc172053650"/>
      <w:r>
        <w:rPr>
          <w:rFonts w:hint="eastAsia" w:asciiTheme="minorEastAsia" w:hAnsiTheme="minorEastAsia" w:cstheme="minorEastAsia"/>
          <w:b/>
          <w:bCs/>
          <w:sz w:val="24"/>
          <w:szCs w:val="24"/>
        </w:rPr>
        <w:t xml:space="preserve">4.1.10门诊医生工作站</w:t>
      </w:r>
      <w:bookmarkEnd w:id="24"/>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1、病人选择/</w:t>
      </w:r>
      <w:r>
        <w:rPr>
          <w:rFonts w:hint="eastAsia" w:asciiTheme="minorEastAsia" w:hAnsiTheme="minorEastAsia" w:cstheme="minorEastAsia"/>
          <w:sz w:val="24"/>
          <w:szCs w:val="24"/>
        </w:rPr>
        <w:t xml:space="preserve">暂挂</w:t>
      </w:r>
      <w:r>
        <w:rPr>
          <w:rFonts w:hint="eastAsia" w:asciiTheme="minorEastAsia" w:hAnsiTheme="minorEastAsia" w:cstheme="minorEastAsia"/>
          <w:sz w:val="24"/>
          <w:szCs w:val="24"/>
        </w:rPr>
        <w:t xml:space="preserve">/结束</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提供病人选择功能，包括输入门诊号、读取就诊卡、根据队列选择病人等多种方式就医。</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提供病人快速选取功能或结合叫号系统实现叫号功能。</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w:t>
      </w:r>
      <w:r>
        <w:rPr>
          <w:rFonts w:hint="eastAsia" w:asciiTheme="minorEastAsia" w:hAnsiTheme="minorEastAsia" w:cstheme="minorEastAsia"/>
          <w:sz w:val="24"/>
          <w:szCs w:val="24"/>
        </w:rPr>
        <w:t xml:space="preserve">就诊暂挂功能</w:t>
      </w:r>
      <w:r>
        <w:rPr>
          <w:rFonts w:hint="eastAsia" w:asciiTheme="minorEastAsia" w:hAnsiTheme="minorEastAsia" w:cstheme="minorEastAsia"/>
          <w:sz w:val="24"/>
          <w:szCs w:val="24"/>
        </w:rPr>
        <w:t xml:space="preserve">，支持病人暂停就诊或继续进行就诊。</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提供结束就诊功能，结束某病人的就诊历程。</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提供门诊病人基本信息的查看和补充修改功能，包含病人生理状态、过敏药物等。</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2、诊疗助手</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提供常用药品及</w:t>
      </w:r>
      <w:r>
        <w:rPr>
          <w:rFonts w:hint="eastAsia" w:asciiTheme="minorEastAsia" w:hAnsiTheme="minorEastAsia" w:cstheme="minorEastAsia"/>
          <w:sz w:val="24"/>
          <w:szCs w:val="24"/>
        </w:rPr>
        <w:t xml:space="preserve">诊疗组套</w:t>
      </w:r>
      <w:r>
        <w:rPr>
          <w:rFonts w:hint="eastAsia" w:asciiTheme="minorEastAsia" w:hAnsiTheme="minorEastAsia" w:cstheme="minorEastAsia"/>
          <w:sz w:val="24"/>
          <w:szCs w:val="24"/>
        </w:rPr>
        <w:t xml:space="preserve">、常用诊断、药品字典、诊疗字典、诊断字典等。</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提供业务流程与系统操作之间的联动。</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提供诊疗助手数据快速引用功能。</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3、门诊处方</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可根据病人的病情与诊断给病人开处方。</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提供与合理用药系统接口，在开处方时可以获得药品说明书、药物剂量、药物相互作用和配伍禁忌的提示。</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提供处方审核并能够对用药权限加以控制。</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提供处方助手功能，</w:t>
      </w:r>
      <w:r>
        <w:rPr>
          <w:rFonts w:hint="eastAsia" w:asciiTheme="minorEastAsia" w:hAnsiTheme="minorEastAsia" w:cstheme="minorEastAsia"/>
          <w:sz w:val="24"/>
          <w:szCs w:val="24"/>
        </w:rPr>
        <w:t xml:space="preserve">实现组套</w:t>
      </w:r>
      <w:r>
        <w:rPr>
          <w:rFonts w:hint="eastAsia" w:asciiTheme="minorEastAsia" w:hAnsiTheme="minorEastAsia" w:cstheme="minorEastAsia"/>
          <w:sz w:val="24"/>
          <w:szCs w:val="24"/>
        </w:rPr>
        <w:t xml:space="preserve">处方的快速下达。</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提供接收处方点评的反馈信息并能够在界面上显示。</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4、电子申请单</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提供检验、检查单申请单管理（申请、查看报告）。</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支持检查申请单在医生站直接预约。</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支持对医技报告或影像的及时查看。</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提供会诊申请单管理（申请、查看会诊记录）。</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提供治疗申请单管理（申请、查看治疗记录）。</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支持检查申请单医生站直接预约，根据检查内容生成注意事项，检查安排可供全院查询。</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支持对医技报告或影像的及时查看。</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提供会诊申请单管理（申请、查看会诊记录）。</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提供治疗申请单管理（申请、查看治疗记录），支持检查申请单医生站直接预约。</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下达申请时可获得检验、检查项目信息，包括标本、部位、注意事项、适应症、采集要求、作用等。检验、检查项目来自全院统一检验项目字典。</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5、门诊诊断</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支持ICD-10标准编码和自定义诊断形式下达诊断。</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支持对中医西医诊断对照，支持对诊断部位的录入。</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w:t>
      </w:r>
      <w:r>
        <w:rPr>
          <w:rFonts w:hint="eastAsia" w:asciiTheme="minorEastAsia" w:hAnsiTheme="minorEastAsia" w:cstheme="minorEastAsia"/>
          <w:sz w:val="24"/>
          <w:szCs w:val="24"/>
        </w:rPr>
        <w:t xml:space="preserve">疫病报卡并</w:t>
      </w:r>
      <w:r>
        <w:rPr>
          <w:rFonts w:hint="eastAsia" w:asciiTheme="minorEastAsia" w:hAnsiTheme="minorEastAsia" w:cstheme="minorEastAsia"/>
          <w:sz w:val="24"/>
          <w:szCs w:val="24"/>
        </w:rPr>
        <w:t xml:space="preserve">与诊断关联，实现诊断下达的同时实现疫病登记。</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6、门诊手术</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提供门诊手术管理，支持申请、预约门诊手术。</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7、门诊处置</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提供门诊除处方外所有费用明细查看。</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提供门诊相关处置、材料费用录入。</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8、既往病史</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提供既往门诊和住院的病史查阅功能。</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9、</w:t>
      </w:r>
      <w:r>
        <w:rPr>
          <w:rFonts w:hint="eastAsia" w:asciiTheme="minorEastAsia" w:hAnsiTheme="minorEastAsia" w:cstheme="minorEastAsia"/>
          <w:sz w:val="24"/>
          <w:szCs w:val="24"/>
        </w:rPr>
        <w:t xml:space="preserve">诊间转科</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提供门诊同级科室之间转科，如挂错号时。</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10、住院预约</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提供对需要进行住院治疗的门诊病人，在医生站内进行住院预约。</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11、复诊预约</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提供对病人在结束就诊前进行复诊预约，病人复诊时可以直接就诊或者无须进行挂号预约。</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12、字典目录</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提供常用药品、常用诊疗、药品字典、诊疗字典、诊断字典及</w:t>
      </w:r>
      <w:r>
        <w:rPr>
          <w:rFonts w:hint="eastAsia" w:asciiTheme="minorEastAsia" w:hAnsiTheme="minorEastAsia" w:cstheme="minorEastAsia"/>
          <w:sz w:val="24"/>
          <w:szCs w:val="24"/>
        </w:rPr>
        <w:t xml:space="preserve">诊疗组套</w:t>
      </w:r>
      <w:r>
        <w:rPr>
          <w:rFonts w:hint="eastAsia" w:asciiTheme="minorEastAsia" w:hAnsiTheme="minorEastAsia" w:cstheme="minorEastAsia"/>
          <w:sz w:val="24"/>
          <w:szCs w:val="24"/>
        </w:rPr>
        <w:t xml:space="preserve">等目录。</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提供业务流程与系统操作之间的联动操作。</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提供助手数据快速引用至电子病历功能。</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12、统计查询</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门诊就诊记录查询：提供门诊病人就诊记录查询功能。</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门诊就诊费用统计：提供门诊病人就诊费用统计功能。</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门诊处方收费统计：提供按科室统计处方收费功能。</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门诊诊断统计：提供按科室统计诊断下达次数及病人数量功能。</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手术记录查询：提供门诊及住院手术记录查询功能。</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复诊预约查询：提供复诊病人预约记录查询功能。</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住院预约查询：提供住院病人预约记录查询功能。</w:t>
      </w:r>
      <w:r/>
    </w:p>
    <w:p>
      <w:pPr>
        <w:numPr>
          <w:ilvl w:val="0"/>
          <w:numId w:val="1"/>
        </w:num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报告查阅</w:t>
      </w:r>
      <w:r/>
    </w:p>
    <w:p>
      <w:pPr>
        <w:ind w:firstLine="42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门急诊医生工作站中可在开写处方、书写病历时同屏直接查阅历史检验结果、检查报告、检查图像；查阅报告时能给出结果参考范围及结果异常标记，可获得项目说明。可记录检查时长、检查过程中的用药情况、特殊人群标记（包括孕妇、精神意识障碍）等内容。</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支持查看区域内患者的检查报告和检验结果，互认结果有标识。</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出具检查单和药方的过程中，若存在禁忌事项，系统应自动显示警告或阻止开具。</w:t>
      </w:r>
      <w:r/>
    </w:p>
    <w:p>
      <w:pPr>
        <w:ind w:firstLine="482"/>
        <w:jc w:val="left"/>
        <w:keepLines/>
        <w:keepNext/>
        <w:spacing w:line="400" w:lineRule="exact"/>
        <w:widowControl/>
        <w:rPr>
          <w:rFonts w:asciiTheme="minorEastAsia" w:hAnsiTheme="minorEastAsia" w:cstheme="minorEastAsia"/>
          <w:b/>
          <w:bCs/>
          <w:sz w:val="24"/>
          <w:szCs w:val="24"/>
        </w:rPr>
        <w:outlineLvl w:val="2"/>
      </w:pPr>
      <w:r/>
      <w:bookmarkStart w:id="25" w:name="_Toc172053651"/>
      <w:r>
        <w:rPr>
          <w:rFonts w:hint="eastAsia" w:asciiTheme="minorEastAsia" w:hAnsiTheme="minorEastAsia" w:cstheme="minorEastAsia"/>
          <w:b/>
          <w:bCs/>
          <w:sz w:val="24"/>
          <w:szCs w:val="24"/>
        </w:rPr>
        <w:t xml:space="preserve">4.1.11处方点评系统</w:t>
      </w:r>
      <w:bookmarkEnd w:id="25"/>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1、门诊处方点评</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提供“简单随机抽样、等距抽样、分层抽样、分群抽样、配额抽样和自定义抽样”等多种抽样方法，支持根据医院设定的抽样方法抽取一定数量的门诊处方，对门诊处方进行</w:t>
      </w:r>
      <w:r>
        <w:rPr>
          <w:rFonts w:hint="eastAsia" w:asciiTheme="minorEastAsia" w:hAnsiTheme="minorEastAsia" w:cstheme="minorEastAsia"/>
          <w:sz w:val="24"/>
          <w:szCs w:val="24"/>
        </w:rPr>
        <w:t xml:space="preserve">点评。</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2、专项处方点评</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支持对特定药物或特定疾病的药物处方进行点评（如：抗菌药物、输液药物、国家基本药物、中药注射剂）。</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3、住院医嘱点评</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支持对住院医嘱进行综合点评，结合电子病历和病人的实际情况对本次诊疗过程中药物治疗情况进行综合点评。</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药学质</w:t>
      </w:r>
      <w:r>
        <w:rPr>
          <w:rFonts w:hint="eastAsia" w:asciiTheme="minorEastAsia" w:hAnsiTheme="minorEastAsia" w:cstheme="minorEastAsia"/>
          <w:sz w:val="24"/>
          <w:szCs w:val="24"/>
        </w:rPr>
        <w:t xml:space="preserve">控检查</w:t>
      </w:r>
      <w:r>
        <w:rPr>
          <w:rFonts w:hint="eastAsia" w:asciiTheme="minorEastAsia" w:hAnsiTheme="minorEastAsia" w:cstheme="minorEastAsia"/>
          <w:sz w:val="24"/>
          <w:szCs w:val="24"/>
        </w:rPr>
        <w:t xml:space="preserve">需要相应的住院医嘱专项抽样点评：如重点监控药物、抗肿瘤药物、血制品等，并生成符合质</w:t>
      </w:r>
      <w:r>
        <w:rPr>
          <w:rFonts w:hint="eastAsia" w:asciiTheme="minorEastAsia" w:hAnsiTheme="minorEastAsia" w:cstheme="minorEastAsia"/>
          <w:sz w:val="24"/>
          <w:szCs w:val="24"/>
        </w:rPr>
        <w:t xml:space="preserve">控要求</w:t>
      </w:r>
      <w:r>
        <w:rPr>
          <w:rFonts w:hint="eastAsia" w:asciiTheme="minorEastAsia" w:hAnsiTheme="minorEastAsia" w:cstheme="minorEastAsia"/>
          <w:sz w:val="24"/>
          <w:szCs w:val="24"/>
        </w:rPr>
        <w:t xml:space="preserve">的医嘱点评表。</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住院医嘱点评时能同步跳转患者电子病历及实验室检查等能体现患者实际情况。</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4、处方点评表</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支持根据门诊处方点评结果，生成国家</w:t>
      </w:r>
      <w:r>
        <w:rPr>
          <w:rFonts w:hint="eastAsia" w:asciiTheme="minorEastAsia" w:hAnsiTheme="minorEastAsia" w:cstheme="minorEastAsia"/>
          <w:sz w:val="24"/>
          <w:szCs w:val="24"/>
        </w:rPr>
        <w:t xml:space="preserve">卫健委要求</w:t>
      </w:r>
      <w:r>
        <w:rPr>
          <w:rFonts w:hint="eastAsia" w:asciiTheme="minorEastAsia" w:hAnsiTheme="minorEastAsia" w:cstheme="minorEastAsia"/>
          <w:sz w:val="24"/>
          <w:szCs w:val="24"/>
        </w:rPr>
        <w:t xml:space="preserve">的处方点评工作表。</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5、专项点评表</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支持根据专项处方点评结果，生成专项处方点评表。</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支持根据不同的专项点评生成相应的质</w:t>
      </w:r>
      <w:r>
        <w:rPr>
          <w:rFonts w:hint="eastAsia" w:asciiTheme="minorEastAsia" w:hAnsiTheme="minorEastAsia" w:cstheme="minorEastAsia"/>
          <w:sz w:val="24"/>
          <w:szCs w:val="24"/>
        </w:rPr>
        <w:t xml:space="preserve">控要求</w:t>
      </w:r>
      <w:r>
        <w:rPr>
          <w:rFonts w:hint="eastAsia" w:asciiTheme="minorEastAsia" w:hAnsiTheme="minorEastAsia" w:cstheme="minorEastAsia"/>
          <w:sz w:val="24"/>
          <w:szCs w:val="24"/>
        </w:rPr>
        <w:t xml:space="preserve">的格式。</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6、处方点评统计表</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支持根据科室或医师，按开具处方时间统计分析处方点评结果。</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支持根据不同的专项点评处方制定不同的统计表。</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7、处方问题统计表</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支持对点评为不合理处方的处方问题进行统计，分析哪些不合理问题所占比例较高，为后期改进提供支持。</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8、处方医师考核表</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支持统计考核周期内点评结果为不合理处方的次数超过设定标准的医师。</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9、出院病人医嘱点评统计</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支持统计已出院病人的药物医嘱的点评结果。</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10、大处方统计</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支持查询和统计单张处方金额超过设定值的处方。</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11、维护设置</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支持设置处方点评系统所需要的各参数。</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支持维护处方点评结果中不合理处方存在问题列表。同时允许设置专项点评问题。</w:t>
      </w:r>
      <w:r/>
    </w:p>
    <w:p>
      <w:pPr>
        <w:ind w:firstLine="482"/>
        <w:jc w:val="left"/>
        <w:keepLines/>
        <w:keepNext/>
        <w:spacing w:line="400" w:lineRule="exact"/>
        <w:widowControl/>
        <w:rPr>
          <w:rFonts w:asciiTheme="minorEastAsia" w:hAnsiTheme="minorEastAsia" w:cstheme="minorEastAsia"/>
          <w:b/>
          <w:bCs/>
          <w:sz w:val="24"/>
          <w:szCs w:val="24"/>
        </w:rPr>
        <w:outlineLvl w:val="2"/>
      </w:pPr>
      <w:r/>
      <w:bookmarkStart w:id="26" w:name="_Toc172053652"/>
      <w:r>
        <w:rPr>
          <w:rFonts w:hint="eastAsia" w:asciiTheme="minorEastAsia" w:hAnsiTheme="minorEastAsia" w:cstheme="minorEastAsia"/>
          <w:b/>
          <w:bCs/>
          <w:sz w:val="24"/>
          <w:szCs w:val="24"/>
        </w:rPr>
        <w:t xml:space="preserve">4.1.12皮试系统</w:t>
      </w:r>
      <w:bookmarkEnd w:id="26"/>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1、皮试管理</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支持对需要皮试的患者，做相应药品的皮试处理，以及取消皮试结果。</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支持自动接收从医生站、划价收费处接收皮试处方、皮试取消等管理。</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2、皮试结果录入</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支持采用选择框形式选取皮试结果，同时向门诊划价收费处、医生站反馈皮试结果。</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3、统计查询</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支持根据门诊号、时间等多种检索条件查询皮试结果、工作量。</w:t>
      </w:r>
      <w:r/>
    </w:p>
    <w:p>
      <w:pPr>
        <w:ind w:firstLine="482"/>
        <w:jc w:val="left"/>
        <w:keepLines/>
        <w:keepNext/>
        <w:spacing w:line="400" w:lineRule="exact"/>
        <w:widowControl/>
        <w:rPr>
          <w:rFonts w:asciiTheme="minorEastAsia" w:hAnsiTheme="minorEastAsia" w:cstheme="minorEastAsia"/>
          <w:b/>
          <w:bCs/>
          <w:sz w:val="24"/>
          <w:szCs w:val="24"/>
        </w:rPr>
        <w:outlineLvl w:val="2"/>
      </w:pPr>
      <w:r/>
      <w:bookmarkStart w:id="27" w:name="_Toc172053653"/>
      <w:r>
        <w:rPr>
          <w:rFonts w:hint="eastAsia" w:asciiTheme="minorEastAsia" w:hAnsiTheme="minorEastAsia" w:cstheme="minorEastAsia"/>
          <w:b/>
          <w:bCs/>
          <w:sz w:val="24"/>
          <w:szCs w:val="24"/>
        </w:rPr>
        <w:t xml:space="preserve">4.1.13输液系统</w:t>
      </w:r>
      <w:bookmarkEnd w:id="27"/>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1、输液大厅</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提供对当天收费病人根据电脑处方中的输液药品进行按配液要求进行分组，座位安排。</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支持对输液大厅布局位置座位编排。</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2、输液接药</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支持本院接药。</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支持外院接药。</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支持发药后，接药护士进行接药登记，自动生成病人的输液分瓶信息。</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提供接</w:t>
      </w:r>
      <w:r>
        <w:rPr>
          <w:rFonts w:hint="eastAsia" w:asciiTheme="minorEastAsia" w:hAnsiTheme="minorEastAsia" w:cstheme="minorEastAsia"/>
          <w:sz w:val="24"/>
          <w:szCs w:val="24"/>
        </w:rPr>
        <w:t xml:space="preserve">药台护士</w:t>
      </w:r>
      <w:r>
        <w:rPr>
          <w:rFonts w:hint="eastAsia" w:asciiTheme="minorEastAsia" w:hAnsiTheme="minorEastAsia" w:cstheme="minorEastAsia"/>
          <w:sz w:val="24"/>
          <w:szCs w:val="24"/>
        </w:rPr>
        <w:t xml:space="preserve">按照处方打印病人识别卡条码、瓶签条码、</w:t>
      </w:r>
      <w:r>
        <w:rPr>
          <w:rFonts w:hint="eastAsia" w:asciiTheme="minorEastAsia" w:hAnsiTheme="minorEastAsia" w:cstheme="minorEastAsia"/>
          <w:sz w:val="24"/>
          <w:szCs w:val="24"/>
        </w:rPr>
        <w:t xml:space="preserve">巡视卡条码</w:t>
      </w:r>
      <w:r>
        <w:rPr>
          <w:rFonts w:hint="eastAsia" w:asciiTheme="minorEastAsia" w:hAnsiTheme="minorEastAsia" w:cstheme="minorEastAsia"/>
          <w:sz w:val="24"/>
          <w:szCs w:val="24"/>
        </w:rPr>
        <w:t xml:space="preserve">相关打印功能。</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支持人工分瓶操作。</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支持对患者历史过敏药物的提醒操作，如青霉素、头</w:t>
      </w:r>
      <w:r>
        <w:rPr>
          <w:rFonts w:hint="eastAsia" w:asciiTheme="minorEastAsia" w:hAnsiTheme="minorEastAsia" w:cstheme="minorEastAsia"/>
          <w:sz w:val="24"/>
          <w:szCs w:val="24"/>
        </w:rPr>
        <w:t xml:space="preserve">孢</w:t>
      </w:r>
      <w:r>
        <w:rPr>
          <w:rFonts w:hint="eastAsia" w:asciiTheme="minorEastAsia" w:hAnsiTheme="minorEastAsia" w:cstheme="minorEastAsia"/>
          <w:sz w:val="24"/>
          <w:szCs w:val="24"/>
        </w:rPr>
        <w:t xml:space="preserve">类药品。</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3、药品核对</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支持接药护士用PDA扫描输液瓶签条码进行药品核对确认，记录药品核对人、核对时间。</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支持PC端对药品的核对，记录药品核对人、核对时间后在大输液袋上贴上药品标签送入配液室。</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4、加药核对</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支持配液室护士PDA扫描输液瓶签条码进行加药核对确认，记录加药核对人、核对时间。</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支持对药品的不同状态进行查询。</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5、窗口呼叫</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支持输液呼叫，支持</w:t>
      </w:r>
      <w:r>
        <w:rPr>
          <w:rFonts w:hint="eastAsia" w:asciiTheme="minorEastAsia" w:hAnsiTheme="minorEastAsia" w:cstheme="minorEastAsia"/>
          <w:sz w:val="24"/>
          <w:szCs w:val="24"/>
        </w:rPr>
        <w:t xml:space="preserve">穿刺台护士</w:t>
      </w:r>
      <w:r>
        <w:rPr>
          <w:rFonts w:hint="eastAsia" w:asciiTheme="minorEastAsia" w:hAnsiTheme="minorEastAsia" w:cstheme="minorEastAsia"/>
          <w:sz w:val="24"/>
          <w:szCs w:val="24"/>
        </w:rPr>
        <w:t xml:space="preserve">通过PDA扫描输液瓶签条码呼叫病人到</w:t>
      </w:r>
      <w:r>
        <w:rPr>
          <w:rFonts w:hint="eastAsia" w:asciiTheme="minorEastAsia" w:hAnsiTheme="minorEastAsia" w:cstheme="minorEastAsia"/>
          <w:sz w:val="24"/>
          <w:szCs w:val="24"/>
        </w:rPr>
        <w:t xml:space="preserve">穿刺台</w:t>
      </w:r>
      <w:r>
        <w:rPr>
          <w:rFonts w:hint="eastAsia" w:asciiTheme="minorEastAsia" w:hAnsiTheme="minorEastAsia" w:cstheme="minorEastAsia"/>
          <w:sz w:val="24"/>
          <w:szCs w:val="24"/>
        </w:rPr>
        <w:t xml:space="preserve">进行输液。</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支持皮试呼叫，支持护士通过PDA扫描皮试单上的条码呼叫病人到穿刺台，告知皮试结果。呼叫屏幕上会显示具体的呼叫信息，同时进行语音播报。</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支持对患者重新呼叫。</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支持Android呼叫显示屏对患者药品的状态实时更新、患者的呼叫列表。</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6、输液处理</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w:t>
      </w:r>
      <w:r>
        <w:rPr>
          <w:rFonts w:hint="eastAsia" w:asciiTheme="minorEastAsia" w:hAnsiTheme="minorEastAsia" w:cstheme="minorEastAsia"/>
          <w:sz w:val="24"/>
          <w:szCs w:val="24"/>
        </w:rPr>
        <w:t xml:space="preserve">穿刺台输液</w:t>
      </w:r>
      <w:r>
        <w:rPr>
          <w:rFonts w:hint="eastAsia" w:asciiTheme="minorEastAsia" w:hAnsiTheme="minorEastAsia" w:cstheme="minorEastAsia"/>
          <w:sz w:val="24"/>
          <w:szCs w:val="24"/>
        </w:rPr>
        <w:t xml:space="preserve">模式，护士可呼叫病人到</w:t>
      </w:r>
      <w:r>
        <w:rPr>
          <w:rFonts w:hint="eastAsia" w:asciiTheme="minorEastAsia" w:hAnsiTheme="minorEastAsia" w:cstheme="minorEastAsia"/>
          <w:sz w:val="24"/>
          <w:szCs w:val="24"/>
        </w:rPr>
        <w:t xml:space="preserve">穿刺台打针</w:t>
      </w:r>
      <w:r>
        <w:rPr>
          <w:rFonts w:hint="eastAsia" w:asciiTheme="minorEastAsia" w:hAnsiTheme="minorEastAsia" w:cstheme="minorEastAsia"/>
          <w:sz w:val="24"/>
          <w:szCs w:val="24"/>
        </w:rPr>
        <w:t xml:space="preserve">输液。</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支持小推车输液。接药时分配座位，护士根据座位号找到病人进行输液。</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支持PDA端同步患者输液信息及PC端。</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7、输液巡视</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输液过程中支持巡视护士使用移动PDA实时记录病人的输液情况，完成对病人整个输液过程的监控。</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支持PDA对输液中暂停操作。</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8、病人呼叫</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支持病人通过座位按钮呼叫护士，支持护士所持PDA显示病人的呼叫信息，并进行语音播报。</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9、输液结束</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护士扫描要结束的输液瓶签条码，结束输液，结束时不用核对(病人识别卡与瓶签)。</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10、注射执行</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支持护士通过PDA扫描注射单条码调入病人注射信息，再扫描病人识别卡核对病人身份，执行注射，记录注射人和注射时间。</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支持输入患者的门诊号、发票号码进行注射执行。</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11、统计查询</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提供对输液室即时信息的总查询。</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提供对输液室某段时间的输液瓶数统计。</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提供对输液室某个人在某段时间的输液情况、不良反应、人次分布、输液用药的查询。</w:t>
      </w:r>
      <w:r/>
    </w:p>
    <w:p>
      <w:pPr>
        <w:ind w:firstLine="482"/>
        <w:jc w:val="left"/>
        <w:keepLines/>
        <w:keepNext/>
        <w:spacing w:line="400" w:lineRule="exact"/>
        <w:widowControl/>
        <w:rPr>
          <w:rFonts w:asciiTheme="minorEastAsia" w:hAnsiTheme="minorEastAsia" w:cstheme="minorEastAsia"/>
          <w:b/>
          <w:bCs/>
          <w:sz w:val="24"/>
          <w:szCs w:val="24"/>
        </w:rPr>
        <w:outlineLvl w:val="2"/>
      </w:pPr>
      <w:r/>
      <w:bookmarkStart w:id="28" w:name="_Toc172053657"/>
      <w:r>
        <w:rPr>
          <w:rFonts w:hint="eastAsia" w:asciiTheme="minorEastAsia" w:hAnsiTheme="minorEastAsia" w:cstheme="minorEastAsia"/>
          <w:b/>
          <w:bCs/>
          <w:sz w:val="24"/>
          <w:szCs w:val="24"/>
        </w:rPr>
        <w:t xml:space="preserve">4.1.16挂号预约管理系统</w:t>
      </w:r>
      <w:bookmarkEnd w:id="28"/>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1、</w:t>
      </w:r>
      <w:r>
        <w:rPr>
          <w:rFonts w:hint="eastAsia" w:asciiTheme="minorEastAsia" w:hAnsiTheme="minorEastAsia" w:cstheme="minorEastAsia"/>
          <w:sz w:val="24"/>
          <w:szCs w:val="24"/>
        </w:rPr>
        <w:t xml:space="preserve">号源类型</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w:t>
      </w:r>
      <w:r>
        <w:rPr>
          <w:rFonts w:hint="eastAsia" w:asciiTheme="minorEastAsia" w:hAnsiTheme="minorEastAsia" w:cstheme="minorEastAsia"/>
          <w:sz w:val="24"/>
          <w:szCs w:val="24"/>
        </w:rPr>
        <w:t xml:space="preserve">号源类型</w:t>
      </w:r>
      <w:r>
        <w:rPr>
          <w:rFonts w:hint="eastAsia" w:asciiTheme="minorEastAsia" w:hAnsiTheme="minorEastAsia" w:cstheme="minorEastAsia"/>
          <w:sz w:val="24"/>
          <w:szCs w:val="24"/>
        </w:rPr>
        <w:t xml:space="preserve">定义功能。</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2、排班管理</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支持挂号科室排班。提供挂号预约排班复制功能，支持排班自定义设置翻滚。</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支持专家医生排班。支持医生排班支持修改功能</w:t>
      </w:r>
      <w:r>
        <w:rPr>
          <w:rFonts w:hint="eastAsia" w:asciiTheme="minorEastAsia" w:hAnsiTheme="minorEastAsia" w:cstheme="minorEastAsia"/>
          <w:sz w:val="24"/>
          <w:szCs w:val="24"/>
        </w:rPr>
        <w:t xml:space="preserve">号源重新</w:t>
      </w:r>
      <w:r>
        <w:rPr>
          <w:rFonts w:hint="eastAsia" w:asciiTheme="minorEastAsia" w:hAnsiTheme="minorEastAsia" w:cstheme="minorEastAsia"/>
          <w:sz w:val="24"/>
          <w:szCs w:val="24"/>
        </w:rPr>
        <w:t xml:space="preserve">产生。支持按数量、模板生成号源。支持停诊控制。</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支持排班变动管理。支持预约变动计划功能，支持临时排班调整的科室与医生进行查询，支持变动患者信息查询。</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3、</w:t>
      </w:r>
      <w:r>
        <w:rPr>
          <w:rFonts w:hint="eastAsia" w:asciiTheme="minorEastAsia" w:hAnsiTheme="minorEastAsia" w:cstheme="minorEastAsia"/>
          <w:sz w:val="24"/>
          <w:szCs w:val="24"/>
        </w:rPr>
        <w:t xml:space="preserve">号源管理</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支持号源的</w:t>
      </w:r>
      <w:r>
        <w:rPr>
          <w:rFonts w:hint="eastAsia" w:asciiTheme="minorEastAsia" w:hAnsiTheme="minorEastAsia" w:cstheme="minorEastAsia"/>
          <w:sz w:val="24"/>
          <w:szCs w:val="24"/>
        </w:rPr>
        <w:t xml:space="preserve">增加、删除、类型修改等。</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支持预约</w:t>
      </w:r>
      <w:r>
        <w:rPr>
          <w:rFonts w:hint="eastAsia" w:asciiTheme="minorEastAsia" w:hAnsiTheme="minorEastAsia" w:cstheme="minorEastAsia"/>
          <w:sz w:val="24"/>
          <w:szCs w:val="24"/>
        </w:rPr>
        <w:t xml:space="preserve">号源类型</w:t>
      </w:r>
      <w:r>
        <w:rPr>
          <w:rFonts w:hint="eastAsia" w:asciiTheme="minorEastAsia" w:hAnsiTheme="minorEastAsia" w:cstheme="minorEastAsia"/>
          <w:sz w:val="24"/>
          <w:szCs w:val="24"/>
        </w:rPr>
        <w:t xml:space="preserve">预约信息查询。</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支持号源模板</w:t>
      </w:r>
      <w:r>
        <w:rPr>
          <w:rFonts w:hint="eastAsia" w:asciiTheme="minorEastAsia" w:hAnsiTheme="minorEastAsia" w:cstheme="minorEastAsia"/>
          <w:sz w:val="24"/>
          <w:szCs w:val="24"/>
        </w:rPr>
        <w:t xml:space="preserve">制定，提供公用模板定制化、私有模板管理。</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4、预约管理</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支持诊间预约</w:t>
      </w:r>
      <w:r>
        <w:rPr>
          <w:rFonts w:hint="eastAsia" w:asciiTheme="minorEastAsia" w:hAnsiTheme="minorEastAsia" w:cstheme="minorEastAsia"/>
          <w:sz w:val="24"/>
          <w:szCs w:val="24"/>
        </w:rPr>
        <w:t xml:space="preserve">和加号处理。</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支持自助、手机端、预约中心预约。</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支持划价收费处预挂，并可取消预挂。</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挂号时可自定义选择</w:t>
      </w:r>
      <w:r>
        <w:rPr>
          <w:rFonts w:hint="eastAsia" w:asciiTheme="minorEastAsia" w:hAnsiTheme="minorEastAsia" w:cstheme="minorEastAsia"/>
          <w:sz w:val="24"/>
          <w:szCs w:val="24"/>
        </w:rPr>
        <w:t xml:space="preserve">号源时间</w:t>
      </w:r>
      <w:r>
        <w:rPr>
          <w:rFonts w:hint="eastAsia" w:asciiTheme="minorEastAsia" w:hAnsiTheme="minorEastAsia" w:cstheme="minorEastAsia"/>
          <w:sz w:val="24"/>
          <w:szCs w:val="24"/>
        </w:rPr>
        <w:t xml:space="preserve">进行预约。</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5、黑名单管理</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提供爽约、黑名单管理，连续爽约进入黑名单，不再提供预约。</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黑名单病人可自动解除和手工解除。</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6、支付管理</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支持线上、现场多种缴费模式。</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支持先</w:t>
      </w:r>
      <w:r>
        <w:rPr>
          <w:rFonts w:hint="eastAsia" w:asciiTheme="minorEastAsia" w:hAnsiTheme="minorEastAsia" w:cstheme="minorEastAsia"/>
          <w:sz w:val="24"/>
          <w:szCs w:val="24"/>
        </w:rPr>
        <w:t xml:space="preserve">预约</w:t>
      </w:r>
      <w:r>
        <w:rPr>
          <w:rFonts w:hint="eastAsia" w:asciiTheme="minorEastAsia" w:hAnsiTheme="minorEastAsia" w:cstheme="minorEastAsia"/>
          <w:sz w:val="24"/>
          <w:szCs w:val="24"/>
        </w:rPr>
        <w:t xml:space="preserve">再</w:t>
      </w:r>
      <w:r>
        <w:rPr>
          <w:rFonts w:hint="eastAsia" w:asciiTheme="minorEastAsia" w:hAnsiTheme="minorEastAsia" w:cstheme="minorEastAsia"/>
          <w:sz w:val="24"/>
          <w:szCs w:val="24"/>
        </w:rPr>
        <w:t xml:space="preserve">缴费、先缴费</w:t>
      </w:r>
      <w:r>
        <w:rPr>
          <w:rFonts w:hint="eastAsia" w:asciiTheme="minorEastAsia" w:hAnsiTheme="minorEastAsia" w:cstheme="minorEastAsia"/>
          <w:sz w:val="24"/>
          <w:szCs w:val="24"/>
        </w:rPr>
        <w:t xml:space="preserve">再</w:t>
      </w:r>
      <w:r>
        <w:rPr>
          <w:rFonts w:hint="eastAsia" w:asciiTheme="minorEastAsia" w:hAnsiTheme="minorEastAsia" w:cstheme="minorEastAsia"/>
          <w:sz w:val="24"/>
          <w:szCs w:val="24"/>
        </w:rPr>
        <w:t xml:space="preserve">预约两种模式。</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7、登记取号</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提供取号渠道多样化管理。</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8、查询统计</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支持预约信息查询，能够按日期、预约科室、预约医生、预约状态查询各种组合条件的预约信息支持按预约方式类型统计。</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支持黑名单病人信息查询，可统计过往各个大项的已预约、未预约资源、履约率情况。</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支持统计一段时间内现场预约、</w:t>
      </w:r>
      <w:r>
        <w:rPr>
          <w:rFonts w:hint="eastAsia" w:asciiTheme="minorEastAsia" w:hAnsiTheme="minorEastAsia" w:cstheme="minorEastAsia"/>
          <w:sz w:val="24"/>
          <w:szCs w:val="24"/>
        </w:rPr>
        <w:t xml:space="preserve">诊间预约</w:t>
      </w:r>
      <w:r>
        <w:rPr>
          <w:rFonts w:hint="eastAsia" w:asciiTheme="minorEastAsia" w:hAnsiTheme="minorEastAsia" w:cstheme="minorEastAsia"/>
          <w:sz w:val="24"/>
          <w:szCs w:val="24"/>
        </w:rPr>
        <w:t xml:space="preserve">、电话预约、自助预约各种方式的预约比例人数情况。</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9、外部接口</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支持第三方Web Service服务接口共享</w:t>
      </w:r>
      <w:r>
        <w:rPr>
          <w:rFonts w:hint="eastAsia" w:asciiTheme="minorEastAsia" w:hAnsiTheme="minorEastAsia" w:cstheme="minorEastAsia"/>
          <w:sz w:val="24"/>
          <w:szCs w:val="24"/>
        </w:rPr>
        <w:t xml:space="preserve">号源池</w:t>
      </w:r>
      <w:r>
        <w:rPr>
          <w:rFonts w:hint="eastAsia" w:asciiTheme="minorEastAsia" w:hAnsiTheme="minorEastAsia" w:cstheme="minorEastAsia"/>
          <w:sz w:val="24"/>
          <w:szCs w:val="24"/>
        </w:rPr>
        <w:t xml:space="preserve">。</w:t>
      </w:r>
      <w:r/>
    </w:p>
    <w:p>
      <w:pPr>
        <w:ind w:firstLine="482"/>
        <w:jc w:val="left"/>
        <w:keepLines/>
        <w:keepNext/>
        <w:spacing w:line="400" w:lineRule="exact"/>
        <w:widowControl/>
        <w:rPr>
          <w:rFonts w:asciiTheme="minorEastAsia" w:hAnsiTheme="minorEastAsia" w:cstheme="minorEastAsia"/>
          <w:b/>
          <w:bCs/>
          <w:sz w:val="24"/>
          <w:szCs w:val="24"/>
        </w:rPr>
        <w:outlineLvl w:val="2"/>
      </w:pPr>
      <w:r/>
      <w:bookmarkStart w:id="29" w:name="_Toc172053658"/>
      <w:r>
        <w:rPr>
          <w:rFonts w:hint="eastAsia" w:asciiTheme="minorEastAsia" w:hAnsiTheme="minorEastAsia" w:cstheme="minorEastAsia"/>
          <w:b/>
          <w:bCs/>
          <w:sz w:val="24"/>
          <w:szCs w:val="24"/>
        </w:rPr>
        <w:t xml:space="preserve">4.1.17门诊电子病历系统</w:t>
      </w:r>
      <w:bookmarkEnd w:id="29"/>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1、门诊电子病历书写</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★提供结构化和XML存储的门诊电子病历。</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提供类似word操作界面风格，所见即所得。</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提供门诊电子病历模板，提供个人常用、科室常用、病种模板的调用。</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支持电子申请</w:t>
      </w:r>
      <w:r>
        <w:rPr>
          <w:rFonts w:hint="eastAsia" w:asciiTheme="minorEastAsia" w:hAnsiTheme="minorEastAsia" w:cstheme="minorEastAsia"/>
          <w:sz w:val="24"/>
          <w:szCs w:val="24"/>
        </w:rPr>
        <w:t xml:space="preserve">单报告</w:t>
      </w:r>
      <w:r>
        <w:rPr>
          <w:rFonts w:hint="eastAsia" w:asciiTheme="minorEastAsia" w:hAnsiTheme="minorEastAsia" w:cstheme="minorEastAsia"/>
          <w:sz w:val="24"/>
          <w:szCs w:val="24"/>
        </w:rPr>
        <w:t xml:space="preserve">结果读取。</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在病历书写时，支持引用检验检查报告数据到病历文档中。</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提供特定模板编辑器，支持特殊符号、图片、常用语引用。</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处方、诊断、检验检查单数据应能自动导入病历功能。</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支持将门诊病历导出为word文档或另存为病历模板。</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支持病历审计日志的查看。</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2、门诊病历书写质量控制</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支持门诊电子病历评分。</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支持门诊评分选项自定义。</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支持门诊电子病历评分统计，包括门诊病历评分汇总表、门诊病历书写情况表等报表。</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3、既往病史查询</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支持既往病史查询，医生应能查阅既往门诊病历资料、住院病历资料、既往诊断、既往检验、既往检查等患者历次就诊记录。</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4、一键打印</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医生工作站中可自由选择打印门诊电子病历、电子申请单、门诊处方单等。</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支持患者自助打印门诊电子病历，支持就诊卡、</w:t>
      </w:r>
      <w:r>
        <w:rPr>
          <w:rFonts w:hint="eastAsia" w:asciiTheme="minorEastAsia" w:hAnsiTheme="minorEastAsia" w:cstheme="minorEastAsia"/>
          <w:sz w:val="24"/>
          <w:szCs w:val="24"/>
        </w:rPr>
        <w:t xml:space="preserve">医</w:t>
      </w:r>
      <w:r>
        <w:rPr>
          <w:rFonts w:hint="eastAsia" w:asciiTheme="minorEastAsia" w:hAnsiTheme="minorEastAsia" w:cstheme="minorEastAsia"/>
          <w:sz w:val="24"/>
          <w:szCs w:val="24"/>
        </w:rPr>
        <w:t xml:space="preserve">保卡、发票号码、二代身份证扫描等多种自助打印方式。</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5、门诊诊疗统计查询</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提供门诊诊疗活动的统计查询功能，包含但不限于门诊病历查询、门诊病历评分情况以及书写情况的统计、门诊就诊记录查询。</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6、区域健康档案接口</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提供在区域协同下的患者健康档案调阅接口。</w:t>
      </w:r>
      <w:r/>
    </w:p>
    <w:p>
      <w:pPr>
        <w:numPr>
          <w:ilvl w:val="1"/>
          <w:numId w:val="0"/>
        </w:numPr>
        <w:ind w:firstLine="420"/>
        <w:jc w:val="left"/>
        <w:keepLines/>
        <w:keepNext/>
        <w:spacing w:line="400" w:lineRule="exact"/>
        <w:widowControl/>
        <w:rPr>
          <w:rFonts w:asciiTheme="minorEastAsia" w:hAnsiTheme="minorEastAsia" w:cstheme="minorEastAsia"/>
          <w:b/>
          <w:bCs/>
          <w:sz w:val="24"/>
          <w:szCs w:val="24"/>
        </w:rPr>
        <w:outlineLvl w:val="1"/>
      </w:pPr>
      <w:r/>
      <w:bookmarkStart w:id="30" w:name="_Toc172053659"/>
      <w:r>
        <w:rPr>
          <w:rFonts w:hint="eastAsia" w:asciiTheme="minorEastAsia" w:hAnsiTheme="minorEastAsia" w:cstheme="minorEastAsia"/>
          <w:b/>
          <w:bCs/>
          <w:sz w:val="24"/>
          <w:szCs w:val="24"/>
        </w:rPr>
        <w:t xml:space="preserve">4.2医技、后勤、治疗等系统</w:t>
      </w:r>
      <w:bookmarkEnd w:id="30"/>
      <w:r/>
      <w:r/>
    </w:p>
    <w:p>
      <w:pPr>
        <w:numPr>
          <w:ilvl w:val="2"/>
          <w:numId w:val="0"/>
        </w:numPr>
        <w:ind w:firstLine="420"/>
        <w:jc w:val="left"/>
        <w:keepLines/>
        <w:keepNext/>
        <w:spacing w:line="400" w:lineRule="exact"/>
        <w:widowControl/>
        <w:rPr>
          <w:rFonts w:asciiTheme="minorEastAsia" w:hAnsiTheme="minorEastAsia" w:cstheme="minorEastAsia"/>
          <w:b/>
          <w:bCs/>
          <w:sz w:val="24"/>
          <w:szCs w:val="24"/>
        </w:rPr>
        <w:outlineLvl w:val="2"/>
      </w:pPr>
      <w:r/>
      <w:bookmarkStart w:id="31" w:name="_Toc172053660"/>
      <w:r>
        <w:rPr>
          <w:rFonts w:hint="eastAsia" w:asciiTheme="minorEastAsia" w:hAnsiTheme="minorEastAsia" w:cstheme="minorEastAsia"/>
          <w:b/>
          <w:bCs/>
          <w:sz w:val="24"/>
          <w:szCs w:val="24"/>
        </w:rPr>
        <w:t xml:space="preserve">4.2.1医技科室信息系统</w:t>
      </w:r>
      <w:bookmarkEnd w:id="31"/>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1、医技业务处理</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支持对门诊和住院两种类型的检查、化验申请单进行接收，并对相应的医技业务分别进行执行记费，医技执行记费后支持取消。</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医技执行中使用到的耗材直接扣减物资库存。</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2、预约申请</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支持门诊、住院医技预约申请，门诊医技预约后在划价收费处能够调入。</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3、医技用药申领</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支持医技使用药品的申领。</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4、编辑结果报告</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提供填写病人的医技结果报告功能。</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5、医技批量执行</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支持门诊、住院医技业务多项同时执行，</w:t>
      </w:r>
      <w:r>
        <w:rPr>
          <w:rFonts w:hint="eastAsia" w:asciiTheme="minorEastAsia" w:hAnsiTheme="minorEastAsia" w:cstheme="minorEastAsia"/>
          <w:sz w:val="24"/>
          <w:szCs w:val="24"/>
        </w:rPr>
        <w:t xml:space="preserve">并扣费处理</w:t>
      </w:r>
      <w:r>
        <w:rPr>
          <w:rFonts w:hint="eastAsia" w:asciiTheme="minorEastAsia" w:hAnsiTheme="minorEastAsia" w:cstheme="minorEastAsia"/>
          <w:sz w:val="24"/>
          <w:szCs w:val="24"/>
        </w:rPr>
        <w:t xml:space="preserve">。</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6、查询统计</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支持根据用户设置的条件查询病人的医技结果报告。</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提供医技清单、医技用药、结果报告、科室工作情况、设备时段、综合分析、诊断结果统计分析等查询。</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支持按检查项目、申检医生、申检科室、执行医生等分别统计科室经济核算情况。</w:t>
      </w:r>
      <w:r/>
    </w:p>
    <w:p>
      <w:pPr>
        <w:numPr>
          <w:ilvl w:val="2"/>
          <w:numId w:val="0"/>
        </w:numPr>
        <w:ind w:firstLine="420"/>
        <w:jc w:val="left"/>
        <w:keepLines/>
        <w:keepNext/>
        <w:spacing w:line="400" w:lineRule="exact"/>
        <w:widowControl/>
        <w:rPr>
          <w:rFonts w:asciiTheme="minorEastAsia" w:hAnsiTheme="minorEastAsia" w:cstheme="minorEastAsia"/>
          <w:b/>
          <w:bCs/>
          <w:sz w:val="24"/>
          <w:szCs w:val="24"/>
        </w:rPr>
        <w:outlineLvl w:val="2"/>
      </w:pPr>
      <w:r/>
      <w:bookmarkStart w:id="32" w:name="_Toc172053661"/>
      <w:r>
        <w:rPr>
          <w:rFonts w:hint="eastAsia" w:asciiTheme="minorEastAsia" w:hAnsiTheme="minorEastAsia" w:cstheme="minorEastAsia"/>
          <w:b/>
          <w:bCs/>
          <w:sz w:val="24"/>
          <w:szCs w:val="24"/>
        </w:rPr>
        <w:t xml:space="preserve">4.2.2疾病监测管理平台</w:t>
      </w:r>
      <w:bookmarkEnd w:id="32"/>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1、病例监测</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支持对全院病人进行医院感染类疾病的监测，对已确认医院感染病例进行统计分析，并出具统计报表。</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2、监测类别</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支持抗菌药物、细菌耐药性、外科手术感染、ICU感染、职业暴露、环境卫生学、传染病等疾病监测。</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3、在线交流平台</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提供医院感染性疾病监测在线交流功能，分为</w:t>
      </w:r>
      <w:r>
        <w:rPr>
          <w:rFonts w:hint="eastAsia" w:asciiTheme="minorEastAsia" w:hAnsiTheme="minorEastAsia" w:cstheme="minorEastAsia"/>
          <w:sz w:val="24"/>
          <w:szCs w:val="24"/>
        </w:rPr>
        <w:t xml:space="preserve">院感科端</w:t>
      </w:r>
      <w:r>
        <w:rPr>
          <w:rFonts w:hint="eastAsia" w:asciiTheme="minorEastAsia" w:hAnsiTheme="minorEastAsia" w:cstheme="minorEastAsia"/>
          <w:sz w:val="24"/>
          <w:szCs w:val="24"/>
        </w:rPr>
        <w:t xml:space="preserve">和医生端，并集成消息提醒功</w:t>
      </w:r>
      <w:r>
        <w:rPr>
          <w:rFonts w:hint="eastAsia" w:asciiTheme="minorEastAsia" w:hAnsiTheme="minorEastAsia" w:cstheme="minorEastAsia"/>
          <w:sz w:val="24"/>
          <w:szCs w:val="24"/>
        </w:rPr>
        <w:t xml:space="preserve">能，实现在线及时干预和反馈处理。</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支持短信提醒临床医生、</w:t>
      </w:r>
      <w:r>
        <w:rPr>
          <w:rFonts w:hint="eastAsia" w:asciiTheme="minorEastAsia" w:hAnsiTheme="minorEastAsia" w:cstheme="minorEastAsia"/>
          <w:sz w:val="24"/>
          <w:szCs w:val="24"/>
        </w:rPr>
        <w:t xml:space="preserve">院感科</w:t>
      </w:r>
      <w:r>
        <w:rPr>
          <w:rFonts w:hint="eastAsia" w:asciiTheme="minorEastAsia" w:hAnsiTheme="minorEastAsia" w:cstheme="minorEastAsia"/>
          <w:sz w:val="24"/>
          <w:szCs w:val="24"/>
        </w:rPr>
        <w:t xml:space="preserve">，内容包含科室、床号、住院号、姓名、检出菌种名称、报告日期。</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能够对医院的</w:t>
      </w:r>
      <w:r>
        <w:rPr>
          <w:rFonts w:hint="eastAsia" w:asciiTheme="minorEastAsia" w:hAnsiTheme="minorEastAsia" w:cstheme="minorEastAsia"/>
          <w:sz w:val="24"/>
          <w:szCs w:val="24"/>
        </w:rPr>
        <w:t xml:space="preserve">感控培训</w:t>
      </w:r>
      <w:r>
        <w:rPr>
          <w:rFonts w:hint="eastAsia" w:asciiTheme="minorEastAsia" w:hAnsiTheme="minorEastAsia" w:cstheme="minorEastAsia"/>
          <w:sz w:val="24"/>
          <w:szCs w:val="24"/>
        </w:rPr>
        <w:t xml:space="preserve">进行记录，并可记录具体参与人员。</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4、嵌入式报卡</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能在住院医生站中实现</w:t>
      </w:r>
      <w:r>
        <w:rPr>
          <w:rFonts w:hint="eastAsia" w:asciiTheme="minorEastAsia" w:hAnsiTheme="minorEastAsia" w:cstheme="minorEastAsia"/>
          <w:sz w:val="24"/>
          <w:szCs w:val="24"/>
        </w:rPr>
        <w:t xml:space="preserve">直接报卡及</w:t>
      </w:r>
      <w:r>
        <w:rPr>
          <w:rFonts w:hint="eastAsia" w:asciiTheme="minorEastAsia" w:hAnsiTheme="minorEastAsia" w:cstheme="minorEastAsia"/>
          <w:sz w:val="24"/>
          <w:szCs w:val="24"/>
        </w:rPr>
        <w:t xml:space="preserve">对</w:t>
      </w:r>
      <w:r>
        <w:rPr>
          <w:rFonts w:hint="eastAsia" w:asciiTheme="minorEastAsia" w:hAnsiTheme="minorEastAsia" w:cstheme="minorEastAsia"/>
          <w:sz w:val="24"/>
          <w:szCs w:val="24"/>
        </w:rPr>
        <w:t xml:space="preserve">已报卡的</w:t>
      </w:r>
      <w:r>
        <w:rPr>
          <w:rFonts w:hint="eastAsia" w:asciiTheme="minorEastAsia" w:hAnsiTheme="minorEastAsia" w:cstheme="minorEastAsia"/>
          <w:sz w:val="24"/>
          <w:szCs w:val="24"/>
        </w:rPr>
        <w:t xml:space="preserve">查询功能，</w:t>
      </w:r>
      <w:r>
        <w:rPr>
          <w:rFonts w:hint="eastAsia" w:asciiTheme="minorEastAsia" w:hAnsiTheme="minorEastAsia" w:cstheme="minorEastAsia"/>
          <w:sz w:val="24"/>
          <w:szCs w:val="24"/>
        </w:rPr>
        <w:t xml:space="preserve">报卡信息</w:t>
      </w:r>
      <w:r>
        <w:rPr>
          <w:rFonts w:hint="eastAsia" w:asciiTheme="minorEastAsia" w:hAnsiTheme="minorEastAsia" w:cstheme="minorEastAsia"/>
          <w:sz w:val="24"/>
          <w:szCs w:val="24"/>
        </w:rPr>
        <w:t xml:space="preserve">包括医院感染报告卡、传染病报告卡、职业暴露填报、污水处理报卡（检验）、环境卫生学报卡填报（检验）及现患率调查表填报等。</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5、感染病例接收管理</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能自动接收、集中管理临床医生填报的医院感染病例报告卡、医院ICU感染病例报告卡等，并有自动消息提醒，</w:t>
      </w:r>
      <w:r>
        <w:rPr>
          <w:rFonts w:hint="eastAsia" w:asciiTheme="minorEastAsia" w:hAnsiTheme="minorEastAsia" w:cstheme="minorEastAsia"/>
          <w:sz w:val="24"/>
          <w:szCs w:val="24"/>
        </w:rPr>
        <w:t xml:space="preserve">供院感</w:t>
      </w:r>
      <w:r>
        <w:rPr>
          <w:rFonts w:hint="eastAsia" w:asciiTheme="minorEastAsia" w:hAnsiTheme="minorEastAsia" w:cstheme="minorEastAsia"/>
          <w:sz w:val="24"/>
          <w:szCs w:val="24"/>
        </w:rPr>
        <w:t xml:space="preserve">专职人员及时审核。</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6、</w:t>
      </w:r>
      <w:r>
        <w:rPr>
          <w:rFonts w:hint="eastAsia" w:asciiTheme="minorEastAsia" w:hAnsiTheme="minorEastAsia" w:cstheme="minorEastAsia"/>
          <w:sz w:val="24"/>
          <w:szCs w:val="24"/>
        </w:rPr>
        <w:t xml:space="preserve">院感暴发</w:t>
      </w:r>
      <w:r>
        <w:rPr>
          <w:rFonts w:hint="eastAsia" w:asciiTheme="minorEastAsia" w:hAnsiTheme="minorEastAsia" w:cstheme="minorEastAsia"/>
          <w:sz w:val="24"/>
          <w:szCs w:val="24"/>
        </w:rPr>
        <w:t xml:space="preserve">预警</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支持实时监控全院</w:t>
      </w:r>
      <w:r>
        <w:rPr>
          <w:rFonts w:hint="eastAsia" w:asciiTheme="minorEastAsia" w:hAnsiTheme="minorEastAsia" w:cstheme="minorEastAsia"/>
          <w:sz w:val="24"/>
          <w:szCs w:val="24"/>
        </w:rPr>
        <w:t xml:space="preserve">院</w:t>
      </w:r>
      <w:r>
        <w:rPr>
          <w:rFonts w:hint="eastAsia" w:asciiTheme="minorEastAsia" w:hAnsiTheme="minorEastAsia" w:cstheme="minorEastAsia"/>
          <w:sz w:val="24"/>
          <w:szCs w:val="24"/>
        </w:rPr>
        <w:t xml:space="preserve">感动态，可以根据不同感染指标所设置的预警阀值，实现暴发流行的实时预警功能，并具备对全院抗菌药物各项指标超标实时预警功能，还应具备对细菌耐药率超过标准值实时预警功能，并予以消息提醒。</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7、疑似传染病筛选</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遵循国家卫</w:t>
      </w:r>
      <w:r>
        <w:rPr>
          <w:rFonts w:hint="eastAsia" w:asciiTheme="minorEastAsia" w:hAnsiTheme="minorEastAsia" w:cstheme="minorEastAsia"/>
          <w:sz w:val="24"/>
          <w:szCs w:val="24"/>
        </w:rPr>
        <w:t xml:space="preserve">健委医院</w:t>
      </w:r>
      <w:r>
        <w:rPr>
          <w:rFonts w:hint="eastAsia" w:asciiTheme="minorEastAsia" w:hAnsiTheme="minorEastAsia" w:cstheme="minorEastAsia"/>
          <w:sz w:val="24"/>
          <w:szCs w:val="24"/>
        </w:rPr>
        <w:t xml:space="preserve">感染诊断标准，具备定义感染病例筛查规则，实现实时自动筛查，并可以通过在线平台反馈筛查结果和干预措施。</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8、疑似病例自主搜索</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支持疑似感染病例条件的自由设置，并实现以此条件为基础对病例进行主动筛选，对疑似感染病例进行重点排查。</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9、现患率调查与管理</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提供嵌入式现患率登记表，并能自动进行信息汇总，具备全院现患率的统计分析功能。</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10、统计数据</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提供统计分析功能，并提供</w:t>
      </w:r>
      <w:r>
        <w:rPr>
          <w:rFonts w:hint="eastAsia" w:asciiTheme="minorEastAsia" w:hAnsiTheme="minorEastAsia" w:cstheme="minorEastAsia"/>
          <w:sz w:val="24"/>
          <w:szCs w:val="24"/>
        </w:rPr>
        <w:t xml:space="preserve">多种院感</w:t>
      </w:r>
      <w:r>
        <w:rPr>
          <w:rFonts w:hint="eastAsia" w:asciiTheme="minorEastAsia" w:hAnsiTheme="minorEastAsia" w:cstheme="minorEastAsia"/>
          <w:sz w:val="24"/>
          <w:szCs w:val="24"/>
        </w:rPr>
        <w:t xml:space="preserve">监测数据的统计分析报表。</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w:t>
      </w:r>
      <w:r>
        <w:rPr>
          <w:rFonts w:hint="eastAsia" w:asciiTheme="minorEastAsia" w:hAnsiTheme="minorEastAsia" w:cstheme="minorEastAsia"/>
          <w:sz w:val="24"/>
          <w:szCs w:val="24"/>
        </w:rPr>
        <w:t xml:space="preserve">院感数据</w:t>
      </w:r>
      <w:r>
        <w:rPr>
          <w:rFonts w:hint="eastAsia" w:asciiTheme="minorEastAsia" w:hAnsiTheme="minorEastAsia" w:cstheme="minorEastAsia"/>
          <w:sz w:val="24"/>
          <w:szCs w:val="24"/>
        </w:rPr>
        <w:t xml:space="preserve">以信息汇总表的形式导出功能，包括：医院感染病例报告卡、现患率调查个案登记表、传染病例报告卡等。</w:t>
      </w:r>
      <w:r/>
    </w:p>
    <w:p>
      <w:pPr>
        <w:numPr>
          <w:ilvl w:val="2"/>
          <w:numId w:val="0"/>
        </w:numPr>
        <w:ind w:firstLine="420"/>
        <w:jc w:val="left"/>
        <w:keepLines/>
        <w:keepNext/>
        <w:spacing w:line="400" w:lineRule="exact"/>
        <w:widowControl/>
        <w:rPr>
          <w:rFonts w:asciiTheme="minorEastAsia" w:hAnsiTheme="minorEastAsia" w:cstheme="minorEastAsia"/>
          <w:b/>
          <w:bCs/>
          <w:sz w:val="24"/>
          <w:szCs w:val="24"/>
        </w:rPr>
        <w:outlineLvl w:val="2"/>
      </w:pPr>
      <w:r/>
      <w:bookmarkStart w:id="33" w:name="_Toc172053662"/>
      <w:r>
        <w:rPr>
          <w:rFonts w:hint="eastAsia" w:asciiTheme="minorEastAsia" w:hAnsiTheme="minorEastAsia" w:cstheme="minorEastAsia"/>
          <w:b/>
          <w:bCs/>
          <w:sz w:val="24"/>
          <w:szCs w:val="24"/>
        </w:rPr>
        <w:t xml:space="preserve">4.2.3卫生平台接口管理系统</w:t>
      </w:r>
      <w:bookmarkEnd w:id="33"/>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根据区域卫生平台接口要求，提供卫生平台接口管理系统，确保上传数据正确并满足上级部门要求。</w:t>
      </w:r>
      <w:r/>
    </w:p>
    <w:p>
      <w:pPr>
        <w:numPr>
          <w:ilvl w:val="2"/>
          <w:numId w:val="0"/>
        </w:numPr>
        <w:ind w:firstLine="420"/>
        <w:jc w:val="left"/>
        <w:keepLines/>
        <w:keepNext/>
        <w:spacing w:line="400" w:lineRule="exact"/>
        <w:widowControl/>
        <w:rPr>
          <w:rFonts w:asciiTheme="minorEastAsia" w:hAnsiTheme="minorEastAsia" w:cstheme="minorEastAsia"/>
          <w:b/>
          <w:bCs/>
          <w:sz w:val="24"/>
          <w:szCs w:val="24"/>
        </w:rPr>
        <w:outlineLvl w:val="2"/>
      </w:pPr>
      <w:r/>
      <w:bookmarkStart w:id="34" w:name="_Toc172053663"/>
      <w:r>
        <w:rPr>
          <w:rFonts w:hint="eastAsia" w:asciiTheme="minorEastAsia" w:hAnsiTheme="minorEastAsia" w:cstheme="minorEastAsia"/>
          <w:b/>
          <w:bCs/>
          <w:sz w:val="24"/>
          <w:szCs w:val="24"/>
        </w:rPr>
        <w:t xml:space="preserve">4.2.4自定义报表系统</w:t>
      </w:r>
      <w:bookmarkEnd w:id="34"/>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1、表单设计器</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支持对表单进行创建设计，创建表单可通过自定义表格、电子表格、交叉表格三种向导方式完成。</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2、表单管理</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支持管理表单设置信息，包括表单列表信息、表单内容明细信息、固定关键字信息、显示输入参数信息等。可新增、删除、保存、导入、转出、设计、预览等操作。</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3、报表管理</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支持维护报表基本信息以及显示哪个表单，供自定义报表查询以及报表级联使用。</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4、设置功能</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支持报表类型设置，能够对报表类型进行维护，包括报表类型编号、报表类型名称、备注信息；并可对报表类型进行新增、删除、导入、保存等操作。</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支持固定参数设置，支持设置表单中经常用到的检索参数。能够把常用的参数名称、数据类型、展示下拉的信息进行固定维护。</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支持数据类型默认值设置，支持字段下拉数据源设置。</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5、报表权限管理</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支持维护各系统角色成员对启用的报表拥有自定义报表查询的权限。</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6、报表级联设置</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支持维护报表间上下级关联关系，以及数据窗口间参数与字段的对照信息。供自定义报表查询窗口使用。</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7、自定义报表查询管理</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支持统一管理报表查询信息，显示当前机构以及全局机构，当前用户对应系统角色有报表权限的所有自定义报表。</w:t>
      </w:r>
      <w:r/>
    </w:p>
    <w:p>
      <w:pPr>
        <w:numPr>
          <w:ilvl w:val="2"/>
          <w:numId w:val="0"/>
        </w:numPr>
        <w:ind w:firstLine="420"/>
        <w:jc w:val="left"/>
        <w:keepLines/>
        <w:keepNext/>
        <w:spacing w:line="400" w:lineRule="exact"/>
        <w:widowControl/>
        <w:rPr>
          <w:rFonts w:asciiTheme="minorEastAsia" w:hAnsiTheme="minorEastAsia" w:cstheme="minorEastAsia"/>
          <w:b/>
          <w:bCs/>
          <w:sz w:val="24"/>
          <w:szCs w:val="24"/>
        </w:rPr>
        <w:outlineLvl w:val="2"/>
      </w:pPr>
      <w:r/>
      <w:bookmarkStart w:id="35" w:name="_Toc172053664"/>
      <w:r>
        <w:rPr>
          <w:rFonts w:hint="eastAsia" w:asciiTheme="minorEastAsia" w:hAnsiTheme="minorEastAsia" w:cstheme="minorEastAsia"/>
          <w:b/>
          <w:bCs/>
          <w:sz w:val="24"/>
          <w:szCs w:val="24"/>
        </w:rPr>
        <w:t xml:space="preserve">4.2.5国家</w:t>
      </w:r>
      <w:r>
        <w:rPr>
          <w:rFonts w:hint="eastAsia" w:asciiTheme="minorEastAsia" w:hAnsiTheme="minorEastAsia" w:cstheme="minorEastAsia"/>
          <w:b/>
          <w:bCs/>
          <w:sz w:val="24"/>
          <w:szCs w:val="24"/>
        </w:rPr>
        <w:t xml:space="preserve">医</w:t>
      </w:r>
      <w:r>
        <w:rPr>
          <w:rFonts w:hint="eastAsia" w:asciiTheme="minorEastAsia" w:hAnsiTheme="minorEastAsia" w:cstheme="minorEastAsia"/>
          <w:b/>
          <w:bCs/>
          <w:sz w:val="24"/>
          <w:szCs w:val="24"/>
        </w:rPr>
        <w:t xml:space="preserve">保管理系统</w:t>
      </w:r>
      <w:bookmarkEnd w:id="35"/>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根据</w:t>
      </w:r>
      <w:r>
        <w:rPr>
          <w:rFonts w:hint="eastAsia" w:asciiTheme="minorEastAsia" w:hAnsiTheme="minorEastAsia" w:cstheme="minorEastAsia"/>
          <w:sz w:val="24"/>
          <w:szCs w:val="24"/>
        </w:rPr>
        <w:t xml:space="preserve">医</w:t>
      </w:r>
      <w:r>
        <w:rPr>
          <w:rFonts w:hint="eastAsia" w:asciiTheme="minorEastAsia" w:hAnsiTheme="minorEastAsia" w:cstheme="minorEastAsia"/>
          <w:sz w:val="24"/>
          <w:szCs w:val="24"/>
        </w:rPr>
        <w:t xml:space="preserve">保机构要求，提供国家</w:t>
      </w:r>
      <w:r>
        <w:rPr>
          <w:rFonts w:hint="eastAsia" w:asciiTheme="minorEastAsia" w:hAnsiTheme="minorEastAsia" w:cstheme="minorEastAsia"/>
          <w:sz w:val="24"/>
          <w:szCs w:val="24"/>
        </w:rPr>
        <w:t xml:space="preserve">医</w:t>
      </w:r>
      <w:r>
        <w:rPr>
          <w:rFonts w:hint="eastAsia" w:asciiTheme="minorEastAsia" w:hAnsiTheme="minorEastAsia" w:cstheme="minorEastAsia"/>
          <w:sz w:val="24"/>
          <w:szCs w:val="24"/>
        </w:rPr>
        <w:t xml:space="preserve">保管理系统，实现</w:t>
      </w:r>
      <w:r>
        <w:rPr>
          <w:rFonts w:hint="eastAsia" w:asciiTheme="minorEastAsia" w:hAnsiTheme="minorEastAsia" w:cstheme="minorEastAsia"/>
          <w:sz w:val="24"/>
          <w:szCs w:val="24"/>
        </w:rPr>
        <w:t xml:space="preserve">医</w:t>
      </w:r>
      <w:r>
        <w:rPr>
          <w:rFonts w:hint="eastAsia" w:asciiTheme="minorEastAsia" w:hAnsiTheme="minorEastAsia" w:cstheme="minorEastAsia"/>
          <w:sz w:val="24"/>
          <w:szCs w:val="24"/>
        </w:rPr>
        <w:t xml:space="preserve">保一体化统一管理，实现维护、对照、上传一体化。</w:t>
      </w:r>
      <w:r/>
    </w:p>
    <w:p>
      <w:pPr>
        <w:numPr>
          <w:ilvl w:val="2"/>
          <w:numId w:val="0"/>
        </w:numPr>
        <w:ind w:firstLine="420"/>
        <w:jc w:val="left"/>
        <w:keepLines/>
        <w:keepNext/>
        <w:spacing w:line="400" w:lineRule="exact"/>
        <w:widowControl/>
        <w:rPr>
          <w:rFonts w:asciiTheme="minorEastAsia" w:hAnsiTheme="minorEastAsia" w:cstheme="minorEastAsia"/>
          <w:b/>
          <w:bCs/>
          <w:sz w:val="24"/>
          <w:szCs w:val="24"/>
        </w:rPr>
        <w:outlineLvl w:val="2"/>
      </w:pPr>
      <w:r/>
      <w:bookmarkStart w:id="36" w:name="_Toc172053665"/>
      <w:r>
        <w:rPr>
          <w:rFonts w:hint="eastAsia" w:asciiTheme="minorEastAsia" w:hAnsiTheme="minorEastAsia" w:cstheme="minorEastAsia"/>
          <w:b/>
          <w:bCs/>
          <w:sz w:val="24"/>
          <w:szCs w:val="24"/>
        </w:rPr>
        <w:t xml:space="preserve">4.2.6治疗系统</w:t>
      </w:r>
      <w:bookmarkEnd w:id="36"/>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1、治疗申请</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支持门诊及住院的治疗申请时引入门诊或住院病历内容。</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支持对未经过门诊或住院申请的患者进行申请补录，并可对申请单进行集中管理。</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2、治疗预约</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支持对门诊、住院申请或补录的治疗申请单进行治疗预约。</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支持对治疗的疗程及项目自动生成预约计划，并支持调整。</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3、治疗记录</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支持查看病人门诊、住院病历记录。</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支持对治疗患者的治疗过程及效果进行记录。</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提供疗程小结及总结的书写和记录功能。</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4、统计查询</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支持对治疗活动进行数据查询。</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支持对治疗业务进行数据统计。</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5、系统维护</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治疗安排信息、记录数据可通过交换接口供全院调用共享。</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提供用户对治疗项目预先定义功能，包含：项目类别、项目计划、项目费用等。</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w:t>
      </w:r>
      <w:r>
        <w:rPr>
          <w:rFonts w:hint="eastAsia" w:asciiTheme="minorEastAsia" w:hAnsiTheme="minorEastAsia" w:cstheme="minorEastAsia"/>
          <w:sz w:val="24"/>
          <w:szCs w:val="24"/>
        </w:rPr>
        <w:t xml:space="preserve">治疗组套的</w:t>
      </w:r>
      <w:r>
        <w:rPr>
          <w:rFonts w:hint="eastAsia" w:asciiTheme="minorEastAsia" w:hAnsiTheme="minorEastAsia" w:cstheme="minorEastAsia"/>
          <w:sz w:val="24"/>
          <w:szCs w:val="24"/>
        </w:rPr>
        <w:t xml:space="preserve">预定义功能，包含全院、</w:t>
      </w:r>
      <w:r>
        <w:rPr>
          <w:rFonts w:hint="eastAsia" w:asciiTheme="minorEastAsia" w:hAnsiTheme="minorEastAsia" w:cstheme="minorEastAsia"/>
          <w:sz w:val="24"/>
          <w:szCs w:val="24"/>
        </w:rPr>
        <w:t xml:space="preserve">个人级的组套</w:t>
      </w:r>
      <w:r>
        <w:rPr>
          <w:rFonts w:hint="eastAsia" w:asciiTheme="minorEastAsia" w:hAnsiTheme="minorEastAsia" w:cstheme="minorEastAsia"/>
          <w:sz w:val="24"/>
          <w:szCs w:val="24"/>
        </w:rPr>
        <w:t xml:space="preserve">项目。</w:t>
      </w:r>
      <w:r/>
    </w:p>
    <w:p>
      <w:pPr>
        <w:ind w:firstLine="420"/>
        <w:keepLines/>
        <w:keepNext/>
        <w:spacing w:line="400" w:lineRule="exact"/>
        <w:rPr>
          <w:rFonts w:asciiTheme="minorEastAsia" w:hAnsiTheme="minorEastAsia" w:cstheme="minorEastAsia"/>
          <w:b/>
          <w:bCs/>
          <w:sz w:val="24"/>
          <w:szCs w:val="24"/>
        </w:rPr>
        <w:outlineLvl w:val="1"/>
      </w:pPr>
      <w:r/>
      <w:bookmarkStart w:id="37" w:name="_Toc172053667"/>
      <w:r>
        <w:rPr>
          <w:rFonts w:hint="eastAsia" w:asciiTheme="minorEastAsia" w:hAnsiTheme="minorEastAsia" w:cstheme="minorEastAsia"/>
          <w:b/>
          <w:bCs/>
          <w:sz w:val="24"/>
          <w:szCs w:val="24"/>
        </w:rPr>
        <w:t xml:space="preserve">4.3住院医生管理</w:t>
      </w:r>
      <w:bookmarkEnd w:id="37"/>
      <w:r/>
      <w:r/>
    </w:p>
    <w:p>
      <w:pPr>
        <w:ind w:firstLine="420"/>
        <w:keepLines/>
        <w:keepNext/>
        <w:spacing w:line="400" w:lineRule="exact"/>
        <w:rPr>
          <w:rFonts w:asciiTheme="minorEastAsia" w:hAnsiTheme="minorEastAsia" w:cstheme="minorEastAsia"/>
          <w:b/>
          <w:bCs/>
          <w:sz w:val="24"/>
          <w:szCs w:val="24"/>
        </w:rPr>
        <w:outlineLvl w:val="2"/>
      </w:pPr>
      <w:r/>
      <w:bookmarkStart w:id="38" w:name="_Toc172053668"/>
      <w:r>
        <w:rPr>
          <w:rFonts w:hint="eastAsia" w:asciiTheme="minorEastAsia" w:hAnsiTheme="minorEastAsia" w:cstheme="minorEastAsia"/>
          <w:b/>
          <w:bCs/>
          <w:sz w:val="24"/>
          <w:szCs w:val="24"/>
        </w:rPr>
        <w:t xml:space="preserve">4.3.1住院医生工作站</w:t>
      </w:r>
      <w:bookmarkEnd w:id="38"/>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1、主页管理</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提供医生今日工作列表，包括“病人流向、待会诊病人、待转入病人、待转出病人、问题医嘱、待写病历、质控信息提醒、危急值提醒、待查检验结果”等信息。</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系统应能及时接收到会诊消息，能及时查看到病人详情和病历等资料，系统应能提供快速显示界面，提供医生查询，并且具有独立会诊患者列表，能显示会诊的紧急情况，医生可快速打开会诊病人查看资料。会诊消息界面要能书写会诊意见。</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临床医生能够直观查看待转入转出病人信息，支持查阅待转入病人病历、接收待转入病人；支持取消待转出病人。</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病房医生工作站系统应能及时呈现病历质控消息，并可调出病历质</w:t>
      </w:r>
      <w:r>
        <w:rPr>
          <w:rFonts w:hint="eastAsia" w:asciiTheme="minorEastAsia" w:hAnsiTheme="minorEastAsia" w:cstheme="minorEastAsia"/>
          <w:sz w:val="24"/>
          <w:szCs w:val="24"/>
        </w:rPr>
        <w:t xml:space="preserve">控消息</w:t>
      </w:r>
      <w:r>
        <w:rPr>
          <w:rFonts w:hint="eastAsia" w:asciiTheme="minorEastAsia" w:hAnsiTheme="minorEastAsia" w:cstheme="minorEastAsia"/>
          <w:sz w:val="24"/>
          <w:szCs w:val="24"/>
        </w:rPr>
        <w:t xml:space="preserve">单供医生查阅，支持质</w:t>
      </w:r>
      <w:r>
        <w:rPr>
          <w:rFonts w:hint="eastAsia" w:asciiTheme="minorEastAsia" w:hAnsiTheme="minorEastAsia" w:cstheme="minorEastAsia"/>
          <w:sz w:val="24"/>
          <w:szCs w:val="24"/>
        </w:rPr>
        <w:t xml:space="preserve">控消息单</w:t>
      </w:r>
      <w:r>
        <w:rPr>
          <w:rFonts w:hint="eastAsia" w:asciiTheme="minorEastAsia" w:hAnsiTheme="minorEastAsia" w:cstheme="minorEastAsia"/>
          <w:sz w:val="24"/>
          <w:szCs w:val="24"/>
        </w:rPr>
        <w:t xml:space="preserve">界面快速打开病历，方便医生修改。</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医生提交的医嘱被护士或者药房进行退回时，医生需要第一时间进行知悉。病房医生工作站需要将问题医嘱进行呈现，能够显示问题医嘱对应的病人、床号、问题医嘱内容等，并且提供快速处理入口，医生点击问题医嘱，系统即可自动跳转到对应病人的对应医嘱进行作废或者重新提交等操作处理。</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提供病房医生站病历书写的时限提醒功能，时间点可根据规则自动计算并呈现在消息界面，供医生查询。</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病人出现危机值时，病房医生工作站应能及时接收和呈现相关系统发送的消息，并在消息界面进行提示，能使医生及时关注到危急值提示消息并进行处理。</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提供病房医生工作站集成申请单审批功能。医生</w:t>
      </w:r>
      <w:r>
        <w:rPr>
          <w:rFonts w:hint="eastAsia" w:asciiTheme="minorEastAsia" w:hAnsiTheme="minorEastAsia" w:cstheme="minorEastAsia"/>
          <w:sz w:val="24"/>
          <w:szCs w:val="24"/>
        </w:rPr>
        <w:t xml:space="preserve">站能够</w:t>
      </w:r>
      <w:r>
        <w:rPr>
          <w:rFonts w:hint="eastAsia" w:asciiTheme="minorEastAsia" w:hAnsiTheme="minorEastAsia" w:cstheme="minorEastAsia"/>
          <w:sz w:val="24"/>
          <w:szCs w:val="24"/>
        </w:rPr>
        <w:t xml:space="preserve">将下级医生提交审批的申请单统一罗列在消息平台，专家可以进行查看和审批操作，同时能查询历史申请单。</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系统应能与医务系统对接并获取信息，及时将医务信息反馈给临床医护人员。</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支持医生</w:t>
      </w:r>
      <w:r>
        <w:rPr>
          <w:rFonts w:hint="eastAsia" w:asciiTheme="minorEastAsia" w:hAnsiTheme="minorEastAsia" w:cstheme="minorEastAsia"/>
          <w:sz w:val="24"/>
          <w:szCs w:val="24"/>
        </w:rPr>
        <w:t xml:space="preserve">单病人</w:t>
      </w:r>
      <w:r>
        <w:rPr>
          <w:rFonts w:hint="eastAsia" w:asciiTheme="minorEastAsia" w:hAnsiTheme="minorEastAsia" w:cstheme="minorEastAsia"/>
          <w:sz w:val="24"/>
          <w:szCs w:val="24"/>
        </w:rPr>
        <w:t xml:space="preserve">多业务、多病人多业务操作。</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2、病人列表</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提供病房医生工作站患者综合管理功能，能够查看患者基本信息和实时状态跟踪。</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应能以列表方式和床头卡方式呈现患者列表。</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新入院、转科、出院病人应有底色标识，以便医生快速查找。</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提供：临床路径、问题医嘱、质控消息、重点病人、待手术、手术后、医院感染、欠费等患者标识。点击相应标识，能够对病人进行优先排序。</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提供病人抗菌药物应用及联用情况信息的自动标注及快速查看功能。</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提供病人护理等级及危重情况的标注，并支持快速筛选。</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提供“特殊病人”维护功能，可以维护病人属性，根据病人属性，来限制其他医生的访问。</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可查询患者详细信息和费用情况，支持查看病人的EMRVIEW。</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3、医生查房</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支持病房医生站医生查房工作，支持通过移动医生工作站或移动推车查房。</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提供查房所需的查阅和记录功能，包含：既往病史、过敏药物（含过敏史）、病情变化、诊断查询、手术资料查询、危重患者评分、</w:t>
      </w:r>
      <w:r>
        <w:rPr>
          <w:rFonts w:hint="eastAsia" w:asciiTheme="minorEastAsia" w:hAnsiTheme="minorEastAsia" w:cstheme="minorEastAsia"/>
          <w:sz w:val="24"/>
          <w:szCs w:val="24"/>
        </w:rPr>
        <w:t xml:space="preserve">单病种质</w:t>
      </w:r>
      <w:r>
        <w:rPr>
          <w:rFonts w:hint="eastAsia" w:asciiTheme="minorEastAsia" w:hAnsiTheme="minorEastAsia" w:cstheme="minorEastAsia"/>
          <w:sz w:val="24"/>
          <w:szCs w:val="24"/>
        </w:rPr>
        <w:t xml:space="preserve">控、多重耐药实施记录、病历附件记录、病历记录查询、护理记录查询、体温单查询等。</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4、诊断管理</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提供对病人诊断进行集中管理的模式。</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提供ICD10标准编码和自定义诊断两种模式。</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提供初步诊断、入院诊断、修正诊断等多种诊断录入功能。</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提供中、西医诊断，并可根据中医诊断对照相应的西医诊断。</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提供图形化的诊断部位选择。</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提供诊断</w:t>
      </w:r>
      <w:r>
        <w:rPr>
          <w:rFonts w:hint="eastAsia" w:asciiTheme="minorEastAsia" w:hAnsiTheme="minorEastAsia" w:cstheme="minorEastAsia"/>
          <w:sz w:val="24"/>
          <w:szCs w:val="24"/>
        </w:rPr>
        <w:t xml:space="preserve">组套选择</w:t>
      </w:r>
      <w:r>
        <w:rPr>
          <w:rFonts w:hint="eastAsia" w:asciiTheme="minorEastAsia" w:hAnsiTheme="minorEastAsia" w:cstheme="minorEastAsia"/>
          <w:sz w:val="24"/>
          <w:szCs w:val="24"/>
        </w:rPr>
        <w:t xml:space="preserve">与自定义保存功能。</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提供知识库临床诊疗指南查阅。</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提供诊断</w:t>
      </w:r>
      <w:r>
        <w:rPr>
          <w:rFonts w:hint="eastAsia" w:asciiTheme="minorEastAsia" w:hAnsiTheme="minorEastAsia" w:cstheme="minorEastAsia"/>
          <w:sz w:val="24"/>
          <w:szCs w:val="24"/>
        </w:rPr>
        <w:t xml:space="preserve">疾病报卡功能</w:t>
      </w:r>
      <w:r>
        <w:rPr>
          <w:rFonts w:hint="eastAsia" w:asciiTheme="minorEastAsia" w:hAnsiTheme="minorEastAsia" w:cstheme="minorEastAsia"/>
          <w:sz w:val="24"/>
          <w:szCs w:val="24"/>
        </w:rPr>
        <w:t xml:space="preserve">。</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提供诊断与临床路径关联功能。</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提供诊断详细记录的导出功能。</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5、电子医嘱</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提供医嘱录入和管理功能，包括：医嘱的开立、提交、重整、停</w:t>
      </w:r>
      <w:r>
        <w:rPr>
          <w:rFonts w:hint="eastAsia" w:asciiTheme="minorEastAsia" w:hAnsiTheme="minorEastAsia" w:cstheme="minorEastAsia"/>
          <w:sz w:val="24"/>
          <w:szCs w:val="24"/>
        </w:rPr>
        <w:t xml:space="preserve">嘱</w:t>
      </w:r>
      <w:r>
        <w:rPr>
          <w:rFonts w:hint="eastAsia" w:asciiTheme="minorEastAsia" w:hAnsiTheme="minorEastAsia" w:cstheme="minorEastAsia"/>
          <w:sz w:val="24"/>
          <w:szCs w:val="24"/>
        </w:rPr>
        <w:t xml:space="preserve">、作废、打印等。</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提供开立长期、临时、急诊、出院带药等药品医嘱，检验、检查、手术等申请也应生成一条对应的医嘱，体现在医嘱单中。</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提供在医嘱录入界面调用检验、检查、手术、转科等电子申请单的功能，支持医嘱的提交、删除和退回操作。</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6、医嘱录入</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提供下达电子医嘱的功能。</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提供长期、临时、急诊、出院带药等医嘱的开立和下达功能。</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提供药品医嘱、诊疗医嘱、文字医嘱的下达功能，并能够通过拼音码、五笔码等快捷方式调取医嘱信息，并允许用户自定义是否开启模糊查询的方式调用药品信息。</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提供医嘱助手功能，医生可通过助手的选择，导入相应药品或者诊疗项目。</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支持将已开立医嘱存为个人或者科室的组套，供下次调用。</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提供对新开、新停</w:t>
      </w:r>
      <w:r>
        <w:rPr>
          <w:rFonts w:hint="eastAsia" w:asciiTheme="minorEastAsia" w:hAnsiTheme="minorEastAsia" w:cstheme="minorEastAsia"/>
          <w:sz w:val="24"/>
          <w:szCs w:val="24"/>
        </w:rPr>
        <w:t xml:space="preserve">嘱</w:t>
      </w:r>
      <w:r>
        <w:rPr>
          <w:rFonts w:hint="eastAsia" w:asciiTheme="minorEastAsia" w:hAnsiTheme="minorEastAsia" w:cstheme="minorEastAsia"/>
          <w:sz w:val="24"/>
          <w:szCs w:val="24"/>
        </w:rPr>
        <w:t xml:space="preserve">、需校验、已作废等医嘱的筛选功能。</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提供针对所有医嘱的重新排序以及医嘱单查看功能。</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提供草药方医嘱的下达功能。</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提供历史处方的快速引用。</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提供病人转科、分娩或者术后等医嘱的重整操作。</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提供长期医嘱的删除或停</w:t>
      </w:r>
      <w:r>
        <w:rPr>
          <w:rFonts w:hint="eastAsia" w:asciiTheme="minorEastAsia" w:hAnsiTheme="minorEastAsia" w:cstheme="minorEastAsia"/>
          <w:sz w:val="24"/>
          <w:szCs w:val="24"/>
        </w:rPr>
        <w:t xml:space="preserve">嘱</w:t>
      </w:r>
      <w:r>
        <w:rPr>
          <w:rFonts w:hint="eastAsia" w:asciiTheme="minorEastAsia" w:hAnsiTheme="minorEastAsia" w:cstheme="minorEastAsia"/>
          <w:sz w:val="24"/>
          <w:szCs w:val="24"/>
        </w:rPr>
        <w:t xml:space="preserve">操作，支持选择相应项目进行删除或停</w:t>
      </w:r>
      <w:r>
        <w:rPr>
          <w:rFonts w:hint="eastAsia" w:asciiTheme="minorEastAsia" w:hAnsiTheme="minorEastAsia" w:cstheme="minorEastAsia"/>
          <w:sz w:val="24"/>
          <w:szCs w:val="24"/>
        </w:rPr>
        <w:t xml:space="preserve">嘱</w:t>
      </w:r>
      <w:r>
        <w:rPr>
          <w:rFonts w:hint="eastAsia" w:asciiTheme="minorEastAsia" w:hAnsiTheme="minorEastAsia" w:cstheme="minorEastAsia"/>
          <w:sz w:val="24"/>
          <w:szCs w:val="24"/>
        </w:rPr>
        <w:t xml:space="preserve">，支持对问题医嘱的作废处理，支持对病区医嘱退回的退回原因进行统计分析的功能。</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下达药品医嘱时，支持查看药品医嘱的药品信息，结合临床知识库可以查看药品说明书等。</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提供合理用药接口或内嵌临床知识库，能对医生提交的医嘱进行合理性审查。</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临床医师在诊疗活动中能够对目前药库或药房中暂时短缺的特殊药品进行采购申请，系统应有分配相应审核权限功能并能及时传达申请信息，以保证后续的诊疗小组组长、科主任、医务科、药学部、药事委员会等上级领导或部门审批并采购入库。</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提供医嘱的打印功能，能够根据医院现有的医嘱单样式定制打印模板，从而能够直接进行医嘱的打印、医生签名。提供长期、临时医嘱打印，可以实现开</w:t>
      </w:r>
      <w:r>
        <w:rPr>
          <w:rFonts w:hint="eastAsia" w:asciiTheme="minorEastAsia" w:hAnsiTheme="minorEastAsia" w:cstheme="minorEastAsia"/>
          <w:sz w:val="24"/>
          <w:szCs w:val="24"/>
        </w:rPr>
        <w:t xml:space="preserve">嘱</w:t>
      </w:r>
      <w:r>
        <w:rPr>
          <w:rFonts w:hint="eastAsia" w:asciiTheme="minorEastAsia" w:hAnsiTheme="minorEastAsia" w:cstheme="minorEastAsia"/>
          <w:sz w:val="24"/>
          <w:szCs w:val="24"/>
        </w:rPr>
        <w:t xml:space="preserve">打印和停</w:t>
      </w:r>
      <w:r>
        <w:rPr>
          <w:rFonts w:hint="eastAsia" w:asciiTheme="minorEastAsia" w:hAnsiTheme="minorEastAsia" w:cstheme="minorEastAsia"/>
          <w:sz w:val="24"/>
          <w:szCs w:val="24"/>
        </w:rPr>
        <w:t xml:space="preserve">嘱</w:t>
      </w:r>
      <w:r>
        <w:rPr>
          <w:rFonts w:hint="eastAsia" w:asciiTheme="minorEastAsia" w:hAnsiTheme="minorEastAsia" w:cstheme="minorEastAsia"/>
          <w:sz w:val="24"/>
          <w:szCs w:val="24"/>
        </w:rPr>
        <w:t xml:space="preserve">打印，打印方式</w:t>
      </w:r>
      <w:r>
        <w:rPr>
          <w:rFonts w:hint="eastAsia" w:asciiTheme="minorEastAsia" w:hAnsiTheme="minorEastAsia" w:cstheme="minorEastAsia"/>
          <w:sz w:val="24"/>
          <w:szCs w:val="24"/>
        </w:rPr>
        <w:t xml:space="preserve">支持续</w:t>
      </w:r>
      <w:r>
        <w:rPr>
          <w:rFonts w:hint="eastAsia" w:asciiTheme="minorEastAsia" w:hAnsiTheme="minorEastAsia" w:cstheme="minorEastAsia"/>
          <w:sz w:val="24"/>
          <w:szCs w:val="24"/>
        </w:rPr>
        <w:t xml:space="preserve">打、按页打、指定行打印、重整打印、重整清空等方式。</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7、电子申请</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提供电子病历系统与实验室信息系统、医学影像信息系统等系统连接后，用户可以直接通过医生站申请检验检查项目，并在系统内查阅检验检查结果。</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下达申请时可获得检验、检查项目信息，包括标本、部位、注意事项、适应症、采集要求、作用等。</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提供输血申请、手术申请、会诊申请等各类电子申请单医生站直接申请功能，以及申请状态的及时跟踪提醒。</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报告浏览：工作站中可在下达医嘱、书写病历时同屏直接查阅历史检验结果、检查报告、检查图像；查阅报告时能给出结果参考范围及结果异常标记，可查询项目说明。</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支持查看区域内患者的检查检验结果，互认结果有标识。</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应能对流程状态（如已申请、已接收、已执行、已报告等）进行监控。</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8、提醒功能</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应能为医生提供多种业务提醒功能，以帮助医生能够及时填写病历资料，避免医疗差错与纠纷。</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提供未完成（待完成）工作提醒功能，支持单个病人待处理医嘱项目、待完成病历以及医务核心制度相关工作的提醒功能，支持用户根据需要自定义是否启用病人业务平台消息集中提醒。</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提供多种业务提醒方式，包括系统消息、手机短信、邮件等。</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9、临床助手</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提供如下功能：常用诊疗数据快速引用、</w:t>
      </w:r>
      <w:r>
        <w:rPr>
          <w:rFonts w:hint="eastAsia" w:asciiTheme="minorEastAsia" w:hAnsiTheme="minorEastAsia" w:cstheme="minorEastAsia"/>
          <w:sz w:val="24"/>
          <w:szCs w:val="24"/>
        </w:rPr>
        <w:t xml:space="preserve">临床项目</w:t>
      </w:r>
      <w:r>
        <w:rPr>
          <w:rFonts w:hint="eastAsia" w:asciiTheme="minorEastAsia" w:hAnsiTheme="minorEastAsia" w:cstheme="minorEastAsia"/>
          <w:sz w:val="24"/>
          <w:szCs w:val="24"/>
        </w:rPr>
        <w:t xml:space="preserve">数据字典查询、临床诊疗常用计算公式等。</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10、综合查询</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提供临床诊疗业务数据的查询功能，包含处方点评结果、临床危急值报告、住院病历查询等。</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11、院内会诊</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会诊消息可以发送到受邀请医生处，并能够注明会诊紧急情况。</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会诊申请单中，可以引用病人病历，实现会诊目的填写，对于患者病情及诊疗情况，支持病历数据的引用，可以选择科内会诊、他科会诊以及院外会诊的模式，且可选择受邀会诊医生，通过消息平台进行消息的发送。</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受邀医生接收到会诊消息之后，可以进行患者的病历资料、医嘱资料、检查报告、检验结果等资料查看，并可书写会诊意见并签名。申请会诊的医生可以查看会诊意见，并结束会诊。</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12、他科治疗</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提供本科室诊疗之外其他科室的诊疗服务并行的功能，即“他科治疗”，支持上述治疗室医师进行申请单管理、病历书写、医嘱开立（如抢救医嘱、医嘱计费、查阅病历等）。</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13、医务核心制度提醒</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提供临床交接班、疑难病例讨论、死亡病例讨论、术前讨论、危重患者危重报告书写、新技术申报（含疗效评定、随访、总结）、手术资质申请等基础功能。</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提供上级行政科室，如医务科、院长等的审核、审批以及提交整改等功能。</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支持表单的打印功能。</w:t>
      </w:r>
      <w:r/>
    </w:p>
    <w:p>
      <w:pPr>
        <w:ind w:firstLine="420"/>
        <w:keepLines/>
        <w:keepNext/>
        <w:spacing w:line="400" w:lineRule="exact"/>
        <w:rPr>
          <w:rFonts w:asciiTheme="minorEastAsia" w:hAnsiTheme="minorEastAsia" w:cstheme="minorEastAsia"/>
          <w:b/>
          <w:bCs/>
          <w:sz w:val="24"/>
          <w:szCs w:val="24"/>
        </w:rPr>
        <w:outlineLvl w:val="2"/>
      </w:pPr>
      <w:r/>
      <w:bookmarkStart w:id="39" w:name="_Toc172053669"/>
      <w:r>
        <w:rPr>
          <w:rFonts w:hint="eastAsia" w:asciiTheme="minorEastAsia" w:hAnsiTheme="minorEastAsia" w:cstheme="minorEastAsia"/>
          <w:b/>
          <w:bCs/>
          <w:sz w:val="24"/>
          <w:szCs w:val="24"/>
        </w:rPr>
        <w:t xml:space="preserve">4.3.1EMR公共模块</w:t>
      </w:r>
      <w:bookmarkEnd w:id="39"/>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EMR公共模块支持对EMR通用模块进行维护，包括但不限于：公用字典、西医疾病、中医疾病、医嘱维护、病历模板、</w:t>
      </w:r>
      <w:r>
        <w:rPr>
          <w:rFonts w:hint="eastAsia" w:asciiTheme="minorEastAsia" w:hAnsiTheme="minorEastAsia" w:cstheme="minorEastAsia"/>
          <w:sz w:val="24"/>
          <w:szCs w:val="24"/>
        </w:rPr>
        <w:t xml:space="preserve">报卡管理</w:t>
      </w:r>
      <w:r>
        <w:rPr>
          <w:rFonts w:hint="eastAsia" w:asciiTheme="minorEastAsia" w:hAnsiTheme="minorEastAsia" w:cstheme="minorEastAsia"/>
          <w:sz w:val="24"/>
          <w:szCs w:val="24"/>
        </w:rPr>
        <w:t xml:space="preserve">、医院定制、权限管理、医疗质量、临床路径、医院等级评审、急诊系统、系统设置等。</w:t>
      </w:r>
      <w:r/>
    </w:p>
    <w:p>
      <w:pPr>
        <w:ind w:firstLine="420"/>
        <w:keepLines/>
        <w:keepNext/>
        <w:spacing w:line="400" w:lineRule="exact"/>
        <w:rPr>
          <w:rFonts w:asciiTheme="minorEastAsia" w:hAnsiTheme="minorEastAsia" w:cstheme="minorEastAsia"/>
          <w:b/>
          <w:bCs/>
          <w:sz w:val="24"/>
          <w:szCs w:val="24"/>
        </w:rPr>
        <w:outlineLvl w:val="2"/>
      </w:pPr>
      <w:r/>
      <w:bookmarkStart w:id="40" w:name="_Toc172053670"/>
      <w:r>
        <w:rPr>
          <w:rFonts w:hint="eastAsia" w:asciiTheme="minorEastAsia" w:hAnsiTheme="minorEastAsia" w:cstheme="minorEastAsia"/>
          <w:b/>
          <w:bCs/>
          <w:sz w:val="24"/>
          <w:szCs w:val="24"/>
        </w:rPr>
        <w:t xml:space="preserve">4.3.2电子病历系统</w:t>
      </w:r>
      <w:bookmarkEnd w:id="40"/>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1、全结构化病历书写</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书写界面要求为WORD操作界面风格，全结构化书写，所见即所得。</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提供医生书写病历，可以直接采用点选方式录入，也支持自由文本输入，同时也具备WORD的基本操作功能，包括字体大小、字号、行间距、页边距、颜色，排版，撤销，复制等多种功能。</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提供右键功能，能够直接操作各个业务子功能。</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住院电子病历提供病人的数据引用，如检验检查结果数据；结构化复制、粘贴；插入特殊符号；支持医嘱信息、检验报告、影像报告、临床路径、手术信息等数据引入；支持自定义医学表达式并且插入操作；支持插入图片，并且可在图片上实现病灶标注和语言描述。</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提供导出病历模板，设置个人模板或常用语等功能。</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提供病历模板的内容质控功能，如能够识别病人性别自动生成相应内容，使用同一份模板，男性病人自动保留婚育史，女性病人自动导入月经及婚育史。</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提供病种模板，能够根据不同病种生成不同的主诉、现病史、既往史等资料。</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提供医学知识库检索功能，在医生书写病历时，选中病历中任何需要查询的关键字，即可在知识库中搜索到与这个关键字相关联的医学文档，可以查看文档，复制文档内容，以便进行医学指导作用。</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医生书写完成大病历后，首次病程记录内的有关大病历的内容应能自动生成，保证内容的一致性。</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2、病历模板编辑器</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提供多科室多病种的病历模板。</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支持全结构化、标准化的快速模板制作，支持模板中知识库和医学片段模板的维护。</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书写的病历资料包括“首次病程记录、入院记录、病程记录（分病程记录、上级医师查房记录、术后病程记录、诊疗操作记录等）、术前小结、手术记录、各种手术治疗同意书、会诊记录、出院小结、死亡记录、病案首页”等。</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提供医院自定义模板格式和自定义模板内容，允许具有相应权限的医生编辑修改模板，模板统一管理。支持医学片段编辑，允许每个医生编辑自己的医学片段，通过审核后，可以在临床书写病历时引用。</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3、电子病案归档与调阅管理</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支持电子病案的简易归档管理和调阅申请。</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死亡、疑难、危、急、重病例讨论记录在归档后应纳入统一管理。</w:t>
      </w:r>
      <w:r/>
    </w:p>
    <w:p>
      <w:pPr>
        <w:ind w:firstLine="420"/>
        <w:keepLines/>
        <w:keepNext/>
        <w:spacing w:line="400" w:lineRule="exact"/>
        <w:rPr>
          <w:rFonts w:asciiTheme="minorEastAsia" w:hAnsiTheme="minorEastAsia" w:cstheme="minorEastAsia"/>
          <w:b/>
          <w:bCs/>
          <w:sz w:val="24"/>
          <w:szCs w:val="24"/>
        </w:rPr>
        <w:outlineLvl w:val="2"/>
      </w:pPr>
      <w:r/>
      <w:bookmarkStart w:id="41" w:name="_Toc172053671"/>
      <w:r>
        <w:rPr>
          <w:rFonts w:hint="eastAsia" w:asciiTheme="minorEastAsia" w:hAnsiTheme="minorEastAsia" w:cstheme="minorEastAsia"/>
          <w:b/>
          <w:bCs/>
          <w:sz w:val="24"/>
          <w:szCs w:val="24"/>
        </w:rPr>
        <w:t xml:space="preserve">4.3.4病历质控系统</w:t>
      </w:r>
      <w:bookmarkEnd w:id="41"/>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1、病历实时监管</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提供监控以及查询住院诊疗不同过程状态下患者状态信息的功能，包含入院、转科、危重、手术、死亡、出院及特殊病人等。</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提供查看患者病历功能。</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2、病历书写评分</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提供病历自动打分、重新量分、病历三级审阅、三级评分等。</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提供对系统自动扣分及病历人工评分的查询功能。</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提供病历超时自动加锁功能，并提供医生给予理由申请解锁，由质控人员审批流程。</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3、病历书写时限质控</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提供病历时限监控提醒功能，自动监控病历书写状态。</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对超出时间要求或者临近截止时间尚未完成的病历，在病房医生</w:t>
      </w:r>
      <w:r>
        <w:rPr>
          <w:rFonts w:hint="eastAsia" w:asciiTheme="minorEastAsia" w:hAnsiTheme="minorEastAsia" w:cstheme="minorEastAsia"/>
          <w:sz w:val="24"/>
          <w:szCs w:val="24"/>
        </w:rPr>
        <w:t xml:space="preserve">站予以</w:t>
      </w:r>
      <w:r>
        <w:rPr>
          <w:rFonts w:hint="eastAsia" w:asciiTheme="minorEastAsia" w:hAnsiTheme="minorEastAsia" w:cstheme="minorEastAsia"/>
          <w:sz w:val="24"/>
          <w:szCs w:val="24"/>
        </w:rPr>
        <w:t xml:space="preserve">提示，并且</w:t>
      </w:r>
      <w:r>
        <w:rPr>
          <w:rFonts w:hint="eastAsia" w:asciiTheme="minorEastAsia" w:hAnsiTheme="minorEastAsia" w:cstheme="minorEastAsia"/>
          <w:sz w:val="24"/>
          <w:szCs w:val="24"/>
        </w:rPr>
        <w:t xml:space="preserve">质控科可查</w:t>
      </w:r>
      <w:r>
        <w:rPr>
          <w:rFonts w:hint="eastAsia" w:asciiTheme="minorEastAsia" w:hAnsiTheme="minorEastAsia" w:cstheme="minorEastAsia"/>
          <w:sz w:val="24"/>
          <w:szCs w:val="24"/>
        </w:rPr>
        <w:t xml:space="preserve">。</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质</w:t>
      </w:r>
      <w:r>
        <w:rPr>
          <w:rFonts w:hint="eastAsia" w:asciiTheme="minorEastAsia" w:hAnsiTheme="minorEastAsia" w:cstheme="minorEastAsia"/>
          <w:sz w:val="24"/>
          <w:szCs w:val="24"/>
        </w:rPr>
        <w:t xml:space="preserve">控科可</w:t>
      </w:r>
      <w:r>
        <w:rPr>
          <w:rFonts w:hint="eastAsia" w:asciiTheme="minorEastAsia" w:hAnsiTheme="minorEastAsia" w:cstheme="minorEastAsia"/>
          <w:sz w:val="24"/>
          <w:szCs w:val="24"/>
        </w:rPr>
        <w:t xml:space="preserve">通过院内消息功能通知医生病历超时。</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病历书写内容质控</w:t>
      </w:r>
      <w:r>
        <w:rPr>
          <w:rFonts w:hint="eastAsia" w:asciiTheme="minorEastAsia" w:hAnsiTheme="minorEastAsia" w:cstheme="minorEastAsia"/>
          <w:sz w:val="24"/>
          <w:szCs w:val="24"/>
        </w:rPr>
        <w:tab/>
        <w:t xml:space="preserve">提供质控人员病历内容检查功能并可提交整改。</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在医生工作站主页提供病历质</w:t>
      </w:r>
      <w:r>
        <w:rPr>
          <w:rFonts w:hint="eastAsia" w:asciiTheme="minorEastAsia" w:hAnsiTheme="minorEastAsia" w:cstheme="minorEastAsia"/>
          <w:sz w:val="24"/>
          <w:szCs w:val="24"/>
        </w:rPr>
        <w:t xml:space="preserve">控内容</w:t>
      </w:r>
      <w:r>
        <w:rPr>
          <w:rFonts w:hint="eastAsia" w:asciiTheme="minorEastAsia" w:hAnsiTheme="minorEastAsia" w:cstheme="minorEastAsia"/>
          <w:sz w:val="24"/>
          <w:szCs w:val="24"/>
        </w:rPr>
        <w:t xml:space="preserve">显示。</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医生在完成病历时，系统能够自动校验，并给予病历自评功能。</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提供质控人员对病历有误的语句标记功能，并提供医生在查看质</w:t>
      </w:r>
      <w:r>
        <w:rPr>
          <w:rFonts w:hint="eastAsia" w:asciiTheme="minorEastAsia" w:hAnsiTheme="minorEastAsia" w:cstheme="minorEastAsia"/>
          <w:sz w:val="24"/>
          <w:szCs w:val="24"/>
        </w:rPr>
        <w:t xml:space="preserve">控消息</w:t>
      </w:r>
      <w:r>
        <w:rPr>
          <w:rFonts w:hint="eastAsia" w:asciiTheme="minorEastAsia" w:hAnsiTheme="minorEastAsia" w:cstheme="minorEastAsia"/>
          <w:sz w:val="24"/>
          <w:szCs w:val="24"/>
        </w:rPr>
        <w:t xml:space="preserve">时，显示标记语句。</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提供系统设置关键字校验，病历保存时，自动校验病历的正确性并记录和提醒病历完善。</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4、病历内容雷同监管分析</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提供住院病历雷同分析，包括同一患者历次住院的现病史雷同情况和同一患者病程记录上下文的雷同情况，通过设定“文字相似度比例、大段相同文字的占比”两个赋值，自动审查出疑似雷同病历。</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对所有电子病历数据具有完善的分级访问控制，能够指定访问者及访问时间范围，申请、授权、使用均须有记录</w:t>
      </w:r>
      <w:r>
        <w:rPr>
          <w:rFonts w:hint="eastAsia" w:asciiTheme="minorEastAsia" w:hAnsiTheme="minorEastAsia" w:cstheme="minorEastAsia"/>
          <w:sz w:val="24"/>
          <w:szCs w:val="24"/>
        </w:rPr>
        <w:t xml:space="preserve">且过程</w:t>
      </w:r>
      <w:r>
        <w:rPr>
          <w:rFonts w:hint="eastAsia" w:asciiTheme="minorEastAsia" w:hAnsiTheme="minorEastAsia" w:cstheme="minorEastAsia"/>
          <w:sz w:val="24"/>
          <w:szCs w:val="24"/>
        </w:rPr>
        <w:t xml:space="preserve">可监控。</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提供病历复制控制管理功能，可具体控制到每个医生的复制权限，实现主管部门对病历雷同现象的精细化管理。</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5、病历质控参数维护</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提供对病历质控系统的参数设置功能，如是否时限提醒、提供时限定义、缺陷维护以及状态时间等。</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提供定位、定性规则的维护功能。</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6、病历质控数据分析</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支持定制化报表，如病案质量统计表、病案质量分析报表、病案质量趋势分析、病历整改缺陷列表等。</w:t>
      </w:r>
      <w:r/>
    </w:p>
    <w:p>
      <w:pPr>
        <w:ind w:firstLine="420"/>
        <w:keepLines/>
        <w:keepNext/>
        <w:spacing w:line="400" w:lineRule="exact"/>
        <w:rPr>
          <w:rFonts w:asciiTheme="minorEastAsia" w:hAnsiTheme="minorEastAsia" w:cstheme="minorEastAsia"/>
          <w:b/>
          <w:bCs/>
          <w:sz w:val="24"/>
          <w:szCs w:val="24"/>
        </w:rPr>
        <w:outlineLvl w:val="2"/>
      </w:pPr>
      <w:r/>
      <w:bookmarkStart w:id="42" w:name="_Toc172053672"/>
      <w:r>
        <w:rPr>
          <w:rFonts w:hint="eastAsia" w:asciiTheme="minorEastAsia" w:hAnsiTheme="minorEastAsia" w:cstheme="minorEastAsia"/>
          <w:b/>
          <w:bCs/>
          <w:sz w:val="24"/>
          <w:szCs w:val="24"/>
        </w:rPr>
        <w:t xml:space="preserve">4.3.5医务科信息管理系统</w:t>
      </w:r>
      <w:bookmarkEnd w:id="42"/>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1、三级医师查房管理</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支持三级医师查房，能设定三级医师权限、能够通过病程记录监控三级医师查房制度的进行情况，结合病历质控系统，能实现相关病程的时限自动提示。</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提供通过自助服务，将查房记录汇总形成消息，通知医务科、质控科。</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相关医务核心制度能在主页上自动生成提醒内容。</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2、疑难病例讨论管理</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提供疑难病例讨论的功能，对于诊断不清、治疗不顺的疑难危重病例应及时进行疑难病例讨论，进行临床疑难病例的诊断与治疗。</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能设置疑难病历讨论的时间间隔。能根据设定的时间，对疑难病历讨论时间进行监控，对超时讨论的情况，能做汇总统计，纳入医务核心的消息服务中。</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提供疑难病例讨论原始记录、整理记录以及疑难病例的病历记录书写。</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提供疑难病历讨论专项统计报表。</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3、死亡病例讨论管理</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医院死亡病历的讨论工作，能设定死亡病历讨论时间，对于超时讨论的记录予以登记。</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提供死亡病例讨论原始记录、整理记录、死亡病例的病历记录书写。</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4、术前讨论管理</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提供术前讨论的书写，能够与医生的手术医嘱进行关联，在下达择期手术医嘱之前，能提示医生书写术前讨论。</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提供讨论主持人或者与会者书写的术前讨论原始记录、整理记录，支持主治医生书写术前讨论病历记录。</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5、会诊管理</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支持全生命周期的会诊流程。</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提供科内会诊、</w:t>
      </w:r>
      <w:r>
        <w:rPr>
          <w:rFonts w:hint="eastAsia" w:asciiTheme="minorEastAsia" w:hAnsiTheme="minorEastAsia" w:cstheme="minorEastAsia"/>
          <w:sz w:val="24"/>
          <w:szCs w:val="24"/>
        </w:rPr>
        <w:t xml:space="preserve">科间会诊</w:t>
      </w:r>
      <w:r>
        <w:rPr>
          <w:rFonts w:hint="eastAsia" w:asciiTheme="minorEastAsia" w:hAnsiTheme="minorEastAsia" w:cstheme="minorEastAsia"/>
          <w:sz w:val="24"/>
          <w:szCs w:val="24"/>
        </w:rPr>
        <w:t xml:space="preserve">、院外会诊等多种会诊情况，支持会诊的响应时间控制，如：紧急会诊10分钟，普通会诊24小时。</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能对会诊进行全流程控制，只允许会诊发起人结束会诊。</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提供参与会诊者书写会诊意见功能。支持会诊记录与电子病历系统互联互通，能够互相引用。</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6、手术分级管理及审批管理</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支持手术分级管理制度执行，能根据医生等级设定不同等级的手术权限。</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支持设定不同科室的手术等级，支持手术申请单的审批。</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对发现有重大过失的医生，支持取消其相关手术资质。</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7、危重患者抢救管理</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提供危重患者的抢救记录书写功能。</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提供事后补录危重患者抢救记录功能。</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提供危重报告的逐级审批功能。</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提供监控抢救医嘱功能。</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8、知情同意制管理</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提供患者各类知情同意</w:t>
      </w:r>
      <w:r>
        <w:rPr>
          <w:rFonts w:hint="eastAsia" w:asciiTheme="minorEastAsia" w:hAnsiTheme="minorEastAsia" w:cstheme="minorEastAsia"/>
          <w:sz w:val="24"/>
          <w:szCs w:val="24"/>
        </w:rPr>
        <w:t xml:space="preserve">书登记</w:t>
      </w:r>
      <w:r>
        <w:rPr>
          <w:rFonts w:hint="eastAsia" w:asciiTheme="minorEastAsia" w:hAnsiTheme="minorEastAsia" w:cstheme="minorEastAsia"/>
          <w:sz w:val="24"/>
          <w:szCs w:val="24"/>
        </w:rPr>
        <w:t xml:space="preserve">功能。</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9、交接班管理</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提供医生、护士的交接班记录书写功能，能设定交接班的时间、根据时间自动生成相关消息。</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延时交接班应有消息提示。</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支持医务科、</w:t>
      </w:r>
      <w:r>
        <w:rPr>
          <w:rFonts w:hint="eastAsia" w:asciiTheme="minorEastAsia" w:hAnsiTheme="minorEastAsia" w:cstheme="minorEastAsia"/>
          <w:sz w:val="24"/>
          <w:szCs w:val="24"/>
        </w:rPr>
        <w:t xml:space="preserve">质控科查看</w:t>
      </w:r>
      <w:r>
        <w:rPr>
          <w:rFonts w:hint="eastAsia" w:asciiTheme="minorEastAsia" w:hAnsiTheme="minorEastAsia" w:cstheme="minorEastAsia"/>
          <w:sz w:val="24"/>
          <w:szCs w:val="24"/>
        </w:rPr>
        <w:t xml:space="preserve">并审阅交接班记录，支持对存疑交接班记录返回修改。</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支持对整改的交接班记录进行反馈查看。</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10、新技术准入管理</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提供医生书写提交新技术的应用申请单功能，并提供伦理委员会、学术委员会、院长等的审批功能。</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支持新技术的应用效果跟踪随访，提供新技术的疗效评定，能够书写新技术的应用总</w:t>
      </w:r>
      <w:r>
        <w:rPr>
          <w:rFonts w:hint="eastAsia" w:asciiTheme="minorEastAsia" w:hAnsiTheme="minorEastAsia" w:cstheme="minorEastAsia"/>
          <w:sz w:val="24"/>
          <w:szCs w:val="24"/>
        </w:rPr>
        <w:t xml:space="preserve">结，并支持医务科、</w:t>
      </w:r>
      <w:r>
        <w:rPr>
          <w:rFonts w:hint="eastAsia" w:asciiTheme="minorEastAsia" w:hAnsiTheme="minorEastAsia" w:cstheme="minorEastAsia"/>
          <w:sz w:val="24"/>
          <w:szCs w:val="24"/>
        </w:rPr>
        <w:t xml:space="preserve">质控科对</w:t>
      </w:r>
      <w:r>
        <w:rPr>
          <w:rFonts w:hint="eastAsia" w:asciiTheme="minorEastAsia" w:hAnsiTheme="minorEastAsia" w:cstheme="minorEastAsia"/>
          <w:sz w:val="24"/>
          <w:szCs w:val="24"/>
        </w:rPr>
        <w:t xml:space="preserve">新技术应用总结的审核。</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11、临床用血审核管理</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提供临床用血审核功能，能监控用血病历，并支持输血记录的监测。</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12、危急值管理</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对于临床产生的危急值，系统能在第一时间通知到责任医生之后，在医务核心系统中，能查询到危急值情况，支持查阅医生的处理意见。</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能对处理时间进行统计，提供</w:t>
      </w:r>
      <w:r>
        <w:rPr>
          <w:rFonts w:hint="eastAsia" w:asciiTheme="minorEastAsia" w:hAnsiTheme="minorEastAsia" w:cstheme="minorEastAsia"/>
          <w:sz w:val="24"/>
          <w:szCs w:val="24"/>
        </w:rPr>
        <w:t xml:space="preserve">质控科进行</w:t>
      </w:r>
      <w:r>
        <w:rPr>
          <w:rFonts w:hint="eastAsia" w:asciiTheme="minorEastAsia" w:hAnsiTheme="minorEastAsia" w:cstheme="minorEastAsia"/>
          <w:sz w:val="24"/>
          <w:szCs w:val="24"/>
        </w:rPr>
        <w:t xml:space="preserve">危急值管理。</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13、</w:t>
      </w:r>
      <w:r>
        <w:rPr>
          <w:rFonts w:hint="eastAsia" w:asciiTheme="minorEastAsia" w:hAnsiTheme="minorEastAsia" w:cstheme="minorEastAsia"/>
          <w:sz w:val="24"/>
          <w:szCs w:val="24"/>
        </w:rPr>
        <w:t xml:space="preserve">医</w:t>
      </w:r>
      <w:r>
        <w:rPr>
          <w:rFonts w:hint="eastAsia" w:asciiTheme="minorEastAsia" w:hAnsiTheme="minorEastAsia" w:cstheme="minorEastAsia"/>
          <w:sz w:val="24"/>
          <w:szCs w:val="24"/>
        </w:rPr>
        <w:t xml:space="preserve">患沟通管理</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能设定</w:t>
      </w:r>
      <w:r>
        <w:rPr>
          <w:rFonts w:hint="eastAsia" w:asciiTheme="minorEastAsia" w:hAnsiTheme="minorEastAsia" w:cstheme="minorEastAsia"/>
          <w:sz w:val="24"/>
          <w:szCs w:val="24"/>
        </w:rPr>
        <w:t xml:space="preserve">医</w:t>
      </w:r>
      <w:r>
        <w:rPr>
          <w:rFonts w:hint="eastAsia" w:asciiTheme="minorEastAsia" w:hAnsiTheme="minorEastAsia" w:cstheme="minorEastAsia"/>
          <w:sz w:val="24"/>
          <w:szCs w:val="24"/>
        </w:rPr>
        <w:t xml:space="preserve">患沟通类病历，并能监控全院病人的</w:t>
      </w:r>
      <w:r>
        <w:rPr>
          <w:rFonts w:hint="eastAsia" w:asciiTheme="minorEastAsia" w:hAnsiTheme="minorEastAsia" w:cstheme="minorEastAsia"/>
          <w:sz w:val="24"/>
          <w:szCs w:val="24"/>
        </w:rPr>
        <w:t xml:space="preserve">医</w:t>
      </w:r>
      <w:r>
        <w:rPr>
          <w:rFonts w:hint="eastAsia" w:asciiTheme="minorEastAsia" w:hAnsiTheme="minorEastAsia" w:cstheme="minorEastAsia"/>
          <w:sz w:val="24"/>
          <w:szCs w:val="24"/>
        </w:rPr>
        <w:t xml:space="preserve">患沟通记录。</w:t>
      </w:r>
      <w:r/>
    </w:p>
    <w:p>
      <w:pPr>
        <w:ind w:firstLine="420"/>
        <w:keepLines/>
        <w:keepNext/>
        <w:spacing w:line="400" w:lineRule="exact"/>
        <w:rPr>
          <w:rFonts w:asciiTheme="minorEastAsia" w:hAnsiTheme="minorEastAsia" w:cstheme="minorEastAsia"/>
          <w:b/>
          <w:bCs/>
          <w:sz w:val="24"/>
          <w:szCs w:val="24"/>
        </w:rPr>
        <w:outlineLvl w:val="2"/>
      </w:pPr>
      <w:r/>
      <w:bookmarkStart w:id="43" w:name="_Toc172053673"/>
      <w:r>
        <w:rPr>
          <w:rFonts w:hint="eastAsia" w:asciiTheme="minorEastAsia" w:hAnsiTheme="minorEastAsia" w:cstheme="minorEastAsia"/>
          <w:b/>
          <w:bCs/>
          <w:sz w:val="24"/>
          <w:szCs w:val="24"/>
        </w:rPr>
        <w:t xml:space="preserve">4.3.6临床路径管理系统</w:t>
      </w:r>
      <w:bookmarkEnd w:id="43"/>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1、专家配置管理</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支持定义纳入临床路径管理的病种，并与ICD10、ICD-9-CM-3编码进行关联。</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支持按照病种定义临床路径，包括标准住院日、手术日、住院调整日、手术调整日等数据。</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支持维护各路径的评估指标，包括诊断依据、进入标准、出院标准等。评估指标分全院级、病种级、</w:t>
      </w:r>
      <w:r>
        <w:rPr>
          <w:rFonts w:hint="eastAsia" w:asciiTheme="minorEastAsia" w:hAnsiTheme="minorEastAsia" w:cstheme="minorEastAsia"/>
          <w:sz w:val="24"/>
          <w:szCs w:val="24"/>
        </w:rPr>
        <w:t xml:space="preserve">路径级</w:t>
      </w:r>
      <w:r>
        <w:rPr>
          <w:rFonts w:hint="eastAsia" w:asciiTheme="minorEastAsia" w:hAnsiTheme="minorEastAsia" w:cstheme="minorEastAsia"/>
          <w:sz w:val="24"/>
          <w:szCs w:val="24"/>
        </w:rPr>
        <w:t xml:space="preserve">三级。</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支持维护各病种的变异原因，可按变异因素，变异类别进行分类。</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提供等效项目维护功能，减少维护工作量。</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维护科室备用药等非关键医嘱项目。</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支持对已有的路径项目的单独或批量替换。</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2、临床路径执行</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提供根据患者病情人工确定进入特定病种临床路径管理的功能，可根据患者的诊断等信息自动提示是否需要入径。</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提供临床路径的执行功能， 根据临床路径和医生的选择，自动生成与路径关联的医嘱和检查检验申请单，避免医生重复劳动。</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系统自动跟踪路径变异情况，对于未按路径标准执行的项目提供变异单的录入和保存功能。</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提供临床路径的监控功能。</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提供临床路径的调整功能，包括调整入院日、手术日及出院日。</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提供分支路径功能，辅助主路径进行。</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w:t>
      </w:r>
      <w:r>
        <w:rPr>
          <w:rFonts w:hint="eastAsia" w:asciiTheme="minorEastAsia" w:hAnsiTheme="minorEastAsia" w:cstheme="minorEastAsia"/>
          <w:sz w:val="24"/>
          <w:szCs w:val="24"/>
        </w:rPr>
        <w:t xml:space="preserve">中途退径功能</w:t>
      </w:r>
      <w:r>
        <w:rPr>
          <w:rFonts w:hint="eastAsia" w:asciiTheme="minorEastAsia" w:hAnsiTheme="minorEastAsia" w:cstheme="minorEastAsia"/>
          <w:sz w:val="24"/>
          <w:szCs w:val="24"/>
        </w:rPr>
        <w:t xml:space="preserve">。病人在临床路径执行的过程中因各种原因需退出路径，即可选择异常出径，并登记变异原因。</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在路径的出院日，病人经评估后</w:t>
      </w:r>
      <w:r>
        <w:rPr>
          <w:rFonts w:hint="eastAsia" w:asciiTheme="minorEastAsia" w:hAnsiTheme="minorEastAsia" w:cstheme="minorEastAsia"/>
          <w:sz w:val="24"/>
          <w:szCs w:val="24"/>
        </w:rPr>
        <w:t xml:space="preserve">符合出径条件</w:t>
      </w:r>
      <w:r>
        <w:rPr>
          <w:rFonts w:hint="eastAsia" w:asciiTheme="minorEastAsia" w:hAnsiTheme="minorEastAsia" w:cstheme="minorEastAsia"/>
          <w:sz w:val="24"/>
          <w:szCs w:val="24"/>
        </w:rPr>
        <w:t xml:space="preserve">，即可选择正常出径，该病人即退出临床路径管理。</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3、统计查询</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查询病人路径的执行情况，包括入</w:t>
      </w:r>
      <w:r>
        <w:rPr>
          <w:rFonts w:hint="eastAsia" w:asciiTheme="minorEastAsia" w:hAnsiTheme="minorEastAsia" w:cstheme="minorEastAsia"/>
          <w:sz w:val="24"/>
          <w:szCs w:val="24"/>
        </w:rPr>
        <w:t xml:space="preserve">径病人和出径病人</w:t>
      </w:r>
      <w:r>
        <w:rPr>
          <w:rFonts w:hint="eastAsia" w:asciiTheme="minorEastAsia" w:hAnsiTheme="minorEastAsia" w:cstheme="minorEastAsia"/>
          <w:sz w:val="24"/>
          <w:szCs w:val="24"/>
        </w:rPr>
        <w:t xml:space="preserve">两类；实现医师版临床路径打印、病人账户查询、路径执行日志查询、变异记录单等查询功能。</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统计某个病种的某个时间段内的非特异性指标，包括效率指标、效果、工作量、抗菌药物使用、卫生经济学指标等。</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统计本院临床路径的实施和执行情况。</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支持辅助医院前期筛选定义临床路径，能统计并分析临床病种与实际医嘱间的关系，辅助临床路径的维护和制定。</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支持分析临床路径的执行情况，以便完善路径。</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提供变异性质明细表、变异来源明细表、变异管理明细表。</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支持动态实时查询临床路径实施情况。</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支持筛查临床路径患者住院天数，提供超长住院日预警。</w:t>
      </w:r>
      <w:r/>
    </w:p>
    <w:p>
      <w:pPr>
        <w:ind w:firstLine="420"/>
        <w:keepLines/>
        <w:keepNext/>
        <w:spacing w:line="400" w:lineRule="exact"/>
        <w:rPr>
          <w:rFonts w:asciiTheme="minorEastAsia" w:hAnsiTheme="minorEastAsia" w:cstheme="minorEastAsia"/>
          <w:b/>
          <w:bCs/>
          <w:sz w:val="24"/>
          <w:szCs w:val="24"/>
        </w:rPr>
        <w:outlineLvl w:val="2"/>
      </w:pPr>
      <w:r/>
      <w:bookmarkStart w:id="44" w:name="_Toc172053674"/>
      <w:r>
        <w:rPr>
          <w:rFonts w:hint="eastAsia" w:asciiTheme="minorEastAsia" w:hAnsiTheme="minorEastAsia" w:cstheme="minorEastAsia"/>
          <w:b/>
          <w:bCs/>
          <w:sz w:val="24"/>
          <w:szCs w:val="24"/>
        </w:rPr>
        <w:t xml:space="preserve">4.3.7病案管理信息系统</w:t>
      </w:r>
      <w:bookmarkEnd w:id="44"/>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1、病案管理</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提供出院病人病案首页登记功能，包含病人基本信息、入出院信息、诊断情况、手术情况等信息。</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支持EMR病案同步、病案归档。</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支持对输入的病案首页进行修改、注销、查询和归档管理。</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2、病案催缴</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支持对病人已经出院但未提交病案的住院科室提交催缴单，支持纸质催缴单和催缴消息发送。</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3、条码管理</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支持每份病案对应一个唯一条码，并能根据条码追溯病案。对于纸质病案支持条码打印，并贴附于病案上，便于扫描。</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4、借阅管理</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提供借阅管理功能，包括借阅登记、续借、催还、归还的管理操作，病案借阅和归还支持条码登记。</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5、质量管理</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支持对已登记完成的病案质量进行检查，将登记信息与病案填写标准比较，对病案登记质量进行评价。</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6、报表管理</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支持按科室统计病案数据、支持按疾病统计病案数据、支持按病种统计病案数据。</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7、查询管理</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支持以住院号、姓名、疾病编码、统计码为条件单项或组合查询病案首页，也支持定义多种组合条件查询病案首页。</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8、指标管理</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二公绩效考核指标中，基于病案首页数据的指标可自动辅助生成。</w:t>
      </w:r>
      <w:r/>
    </w:p>
    <w:p>
      <w:pPr>
        <w:ind w:firstLine="420"/>
        <w:keepLines/>
        <w:keepNext/>
        <w:spacing w:line="400" w:lineRule="exact"/>
        <w:rPr>
          <w:rFonts w:asciiTheme="minorEastAsia" w:hAnsiTheme="minorEastAsia" w:cstheme="minorEastAsia"/>
          <w:b/>
          <w:bCs/>
          <w:sz w:val="24"/>
          <w:szCs w:val="24"/>
        </w:rPr>
        <w:outlineLvl w:val="2"/>
      </w:pPr>
      <w:r/>
      <w:bookmarkStart w:id="45" w:name="_Toc172053675"/>
      <w:r/>
      <w:bookmarkStart w:id="46" w:name="_Toc172053676"/>
      <w:r>
        <w:rPr>
          <w:rFonts w:hint="eastAsia" w:asciiTheme="minorEastAsia" w:hAnsiTheme="minorEastAsia" w:cstheme="minorEastAsia"/>
          <w:b/>
          <w:bCs/>
          <w:sz w:val="24"/>
          <w:szCs w:val="24"/>
        </w:rPr>
        <w:t xml:space="preserve">4.3.8手术室管理系统</w:t>
      </w:r>
      <w:bookmarkEnd w:id="45"/>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1、手术申请管理</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收门诊、急诊系统开出的手术申请单；支持批量接收。</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手术申请单内容：手术患者基本信息、诊断名称、拟行手术名称、手术等级等信息；申请单接收后，本模块内排入对应手术室信息、麻醉医生、护理人员等信息。</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并可按不同功能模块选择排列手术通知表单。</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2、术前访视管理</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提供麻醉科国标要求的术前访视单据，内容系统自动获取电子病历、检验、检查等系统。</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术前访视单内容：手术病人基本信息、术前最近一次检验（检查）结果，并将其它系统的结果值填充如术前访视单的对应位置，结果值异常的可按红色字体显示，以便医务人员能直观察觉，且不影响单据打印字体颜色，同时对于有疑问的结果值，可调用接口查看更多数据。</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3、手术安全核查管理</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麻醉医生、手术医生、护理人员三方按照术前、术中、术后三个时间对手术患者进行核对：核对无误后签字并提供打印功能；安全核查文档支持归档处理。</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4、术后随访管理</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手术后患者随访管理，包括术后麻醉药品后续的影响，返回病房后的生命体征，镇痛效果及反馈意见、措施等。</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4、护理记录管理</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提供手术患者基本信息，提供术前、术中、术后三个节点的护理信息。</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5、护理器械管理</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提供术前器械准备、术中器械清点、术后器械清单。</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支持与医院消毒供应</w:t>
      </w:r>
      <w:r>
        <w:rPr>
          <w:rFonts w:hint="eastAsia" w:asciiTheme="minorEastAsia" w:hAnsiTheme="minorEastAsia" w:cstheme="minorEastAsia"/>
          <w:sz w:val="24"/>
          <w:szCs w:val="24"/>
        </w:rPr>
        <w:t xml:space="preserve">室系统</w:t>
      </w:r>
      <w:r>
        <w:rPr>
          <w:rFonts w:hint="eastAsia" w:asciiTheme="minorEastAsia" w:hAnsiTheme="minorEastAsia" w:cstheme="minorEastAsia"/>
          <w:sz w:val="24"/>
          <w:szCs w:val="24"/>
        </w:rPr>
        <w:t xml:space="preserve">对接。</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6、科室排班管理</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支持按周、</w:t>
      </w:r>
      <w:r>
        <w:rPr>
          <w:rFonts w:hint="eastAsia" w:asciiTheme="minorEastAsia" w:hAnsiTheme="minorEastAsia" w:cstheme="minorEastAsia"/>
          <w:sz w:val="24"/>
          <w:szCs w:val="24"/>
        </w:rPr>
        <w:t xml:space="preserve">月进行</w:t>
      </w:r>
      <w:r>
        <w:rPr>
          <w:rFonts w:hint="eastAsia" w:asciiTheme="minorEastAsia" w:hAnsiTheme="minorEastAsia" w:cstheme="minorEastAsia"/>
          <w:sz w:val="24"/>
          <w:szCs w:val="24"/>
        </w:rPr>
        <w:t xml:space="preserve">科室人员排班。</w:t>
      </w:r>
      <w:r/>
    </w:p>
    <w:p>
      <w:pPr>
        <w:ind w:firstLine="420"/>
        <w:keepLines/>
        <w:keepNext/>
        <w:spacing w:line="400" w:lineRule="exact"/>
        <w:rPr>
          <w:rFonts w:asciiTheme="minorEastAsia" w:hAnsiTheme="minorEastAsia" w:cstheme="minorEastAsia"/>
          <w:b/>
          <w:bCs/>
          <w:sz w:val="24"/>
          <w:szCs w:val="24"/>
        </w:rPr>
        <w:outlineLvl w:val="2"/>
      </w:pPr>
      <w:r>
        <w:rPr>
          <w:rFonts w:hint="eastAsia" w:asciiTheme="minorEastAsia" w:hAnsiTheme="minorEastAsia" w:cstheme="minorEastAsia"/>
          <w:b/>
          <w:bCs/>
          <w:sz w:val="24"/>
          <w:szCs w:val="24"/>
        </w:rPr>
        <w:t xml:space="preserve">4.3.9抗菌药物系统</w:t>
      </w:r>
      <w:bookmarkEnd w:id="46"/>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1、医嘱和处方时的临床干预控制</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提供门急诊医生站、病房医生站在医生下达处方、医嘱（支持查询抗菌药物的抗菌谱）时进行抗生药物等级的权限控制。</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医生没有该抗生药物使用权限时，能支持医生站开立抗生药物使用申请表，经上级医师审批后，暂时获得抗生药物使用权限功能。</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针对需要满足在紧急情况下，能支持医生越级使用抗生药物。</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提供抗生药物多级审批流程闭环管理功能。</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抗生药物审核未通过时，可通过院内消息系统发消息提醒申请医生。</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对于部分特定的特殊抗生药物，能提供上级医师或专家组审批功能。</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提供I类切口手术抗生药物预防用药控制和疾病用药控制功能。</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支持特殊使用级抗生药物的申请会诊功能。</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2、抗生药物使用情况的监控</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提供对抗生药物使用情况的实时监控。（超7天、15天、30天时自动提示）</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提供门诊、住院业务使用抗生药物情况监控平台。（精神科与综合科分开，门诊与急诊分开）</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提供抗生药物越级使用统计。</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提供住院患者人均使用抗生药物品种数及费用统计报表。（自动生成酶抑制剂、特殊级抗菌药物使用情况报表）</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提供抗生药物使用强度统计。</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提供住院患者使用抗生药物使用率统计。（能按诊疗组，按科室统计，分别有综合科、精神科和全院的合计。）</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提供抗生药物消耗量统计。</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提供抗生药物用药频度统计。</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提供门诊患者使用抗生药物百分率统计。（需门诊、急诊分开统计）</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提供抗生药物门诊处方统计。</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提供手术患者抗生药物使用情况统计报表。</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提供抗生药物使用金额排名。</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提供住院药品费用排名公示。（生成表格不要有具体数量，有排名前列的科室和医生姓名即可，</w:t>
      </w:r>
      <w:r>
        <w:rPr>
          <w:rFonts w:hint="eastAsia" w:asciiTheme="minorEastAsia" w:hAnsiTheme="minorEastAsia" w:cstheme="minorEastAsia"/>
          <w:sz w:val="24"/>
          <w:szCs w:val="24"/>
        </w:rPr>
        <w:t xml:space="preserve">规避统方风险</w:t>
      </w:r>
      <w:r>
        <w:rPr>
          <w:rFonts w:hint="eastAsia" w:asciiTheme="minorEastAsia" w:hAnsiTheme="minorEastAsia" w:cstheme="minorEastAsia"/>
          <w:sz w:val="24"/>
          <w:szCs w:val="24"/>
        </w:rPr>
        <w:t xml:space="preserve">）</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提供住院用抗生药物患者病原学检查百分率统计。</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提供某疾病治疗抗生药物成本统计。</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提供抗菌药品使用同比环比。</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提供年度抗菌药品消耗金额调查。</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提供手术病人/非手术病人抗生药物使用情况调查表。</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提供门诊处方用药情况调查表。</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提供住院病人抗生药物使用情况调查表。</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所有</w:t>
      </w:r>
      <w:r>
        <w:rPr>
          <w:rFonts w:hint="eastAsia" w:asciiTheme="minorEastAsia" w:hAnsiTheme="minorEastAsia" w:cstheme="minorEastAsia"/>
          <w:sz w:val="24"/>
          <w:szCs w:val="24"/>
        </w:rPr>
        <w:t xml:space="preserve">涉及统方的</w:t>
      </w:r>
      <w:r>
        <w:rPr>
          <w:rFonts w:hint="eastAsia" w:asciiTheme="minorEastAsia" w:hAnsiTheme="minorEastAsia" w:cstheme="minorEastAsia"/>
          <w:sz w:val="24"/>
          <w:szCs w:val="24"/>
        </w:rPr>
        <w:t xml:space="preserve">功能，在菜单列表标注提醒，有工作必须的，需由纪检监察科申请审核同意后按规范操作。</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能导入</w:t>
      </w:r>
      <w:r>
        <w:rPr>
          <w:rFonts w:hint="eastAsia" w:asciiTheme="minorEastAsia" w:hAnsiTheme="minorEastAsia" w:cstheme="minorEastAsia"/>
          <w:sz w:val="24"/>
          <w:szCs w:val="24"/>
        </w:rPr>
        <w:t xml:space="preserve">导出多耐督查</w:t>
      </w:r>
      <w:r>
        <w:rPr>
          <w:rFonts w:hint="eastAsia" w:asciiTheme="minorEastAsia" w:hAnsiTheme="minorEastAsia" w:cstheme="minorEastAsia"/>
          <w:sz w:val="24"/>
          <w:szCs w:val="24"/>
        </w:rPr>
        <w:t xml:space="preserve">单，临床填写，数据可导出。</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医生开具的各项检查单上能标注该患者是多耐（接触隔离）的提醒。</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导入耐药菌跟踪记录并填写，数据能导出、统计。</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3、</w:t>
      </w:r>
      <w:r>
        <w:rPr>
          <w:rFonts w:hint="eastAsia" w:asciiTheme="minorEastAsia" w:hAnsiTheme="minorEastAsia" w:cstheme="minorEastAsia"/>
          <w:sz w:val="24"/>
          <w:szCs w:val="24"/>
        </w:rPr>
        <w:t xml:space="preserve">围术期抗菌</w:t>
      </w:r>
      <w:r>
        <w:rPr>
          <w:rFonts w:hint="eastAsia" w:asciiTheme="minorEastAsia" w:hAnsiTheme="minorEastAsia" w:cstheme="minorEastAsia"/>
          <w:sz w:val="24"/>
          <w:szCs w:val="24"/>
        </w:rPr>
        <w:t xml:space="preserve">药物</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支持手术医嘱开具时会跳出填写手术切口类别选择，并询问是否需要使用抗菌药物，需要并允许使用则跳出申请单（术前、术中追加用）填写，但申请单上抗菌药物与开具医嘱不一致则无法开具，</w:t>
      </w:r>
      <w:r>
        <w:rPr>
          <w:rFonts w:hint="eastAsia" w:asciiTheme="minorEastAsia" w:hAnsiTheme="minorEastAsia" w:cstheme="minorEastAsia"/>
          <w:sz w:val="24"/>
          <w:szCs w:val="24"/>
        </w:rPr>
        <w:t xml:space="preserve">跳弹窗提醒</w:t>
      </w:r>
      <w:r>
        <w:rPr>
          <w:rFonts w:hint="eastAsia" w:asciiTheme="minorEastAsia" w:hAnsiTheme="minorEastAsia" w:cstheme="minorEastAsia"/>
          <w:sz w:val="24"/>
          <w:szCs w:val="24"/>
        </w:rPr>
        <w:t xml:space="preserve">不一致。</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支持对预防性使用抗菌药物，从医嘱执行时间始，Ⅰ类、Ⅱ类切口满24小时程序将此医嘱自动停止。</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支持Ⅰ类、Ⅱ类切口满24小时需继续使用抗菌药物，开具医嘱时，显示菜单提示，需选择：是否继续使用抗菌药物。</w:t>
      </w:r>
      <w:r>
        <w:rPr>
          <w:rFonts w:hint="eastAsia" w:asciiTheme="minorEastAsia" w:hAnsiTheme="minorEastAsia" w:cstheme="minorEastAsia"/>
          <w:sz w:val="24"/>
          <w:szCs w:val="24"/>
        </w:rPr>
        <w:t xml:space="preserve">弹窗提醒</w:t>
      </w:r>
      <w:r>
        <w:rPr>
          <w:rFonts w:hint="eastAsia" w:asciiTheme="minorEastAsia" w:hAnsiTheme="minorEastAsia" w:cstheme="minorEastAsia"/>
          <w:sz w:val="24"/>
          <w:szCs w:val="24"/>
        </w:rPr>
        <w:t xml:space="preserve">预防用药填是，治疗用药填否，后重新填写抗菌药物申请表（术后使用），填明理由，并审批。</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Ⅰ类切口手术用药：设定一些一类手术</w:t>
      </w:r>
      <w:r>
        <w:rPr>
          <w:rFonts w:hint="eastAsia" w:asciiTheme="minorEastAsia" w:hAnsiTheme="minorEastAsia" w:cstheme="minorEastAsia"/>
          <w:sz w:val="24"/>
          <w:szCs w:val="24"/>
        </w:rPr>
        <w:t xml:space="preserve">不</w:t>
      </w:r>
      <w:r>
        <w:rPr>
          <w:rFonts w:hint="eastAsia" w:asciiTheme="minorEastAsia" w:hAnsiTheme="minorEastAsia" w:cstheme="minorEastAsia"/>
          <w:sz w:val="24"/>
          <w:szCs w:val="24"/>
        </w:rPr>
        <w:t xml:space="preserve">需用抗菌药物，要用则需填写申请单，科主任同意，</w:t>
      </w:r>
      <w:r>
        <w:rPr>
          <w:rFonts w:hint="eastAsia" w:asciiTheme="minorEastAsia" w:hAnsiTheme="minorEastAsia" w:cstheme="minorEastAsia"/>
          <w:sz w:val="24"/>
          <w:szCs w:val="24"/>
        </w:rPr>
        <w:t xml:space="preserve">院感科开通</w:t>
      </w:r>
      <w:r>
        <w:rPr>
          <w:rFonts w:hint="eastAsia" w:asciiTheme="minorEastAsia" w:hAnsiTheme="minorEastAsia" w:cstheme="minorEastAsia"/>
          <w:sz w:val="24"/>
          <w:szCs w:val="24"/>
        </w:rPr>
        <w:t xml:space="preserve">后方可开药。用药理由和开通情况可统计、导出。</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抗菌药物分级管理：</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特殊级：填写抗菌药物会诊申请后方可使用。填写会诊申请前需开具微生物检测医嘱。</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送检：开抗菌药物需填写治疗目的还是预防目的，凡开具抗菌药物时使用目的选择为治疗时，系统会判断是否为重点药物：</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（1）若为非重点药物，系统会弹窗“抗菌药物治疗前送检率不低于50%”的提醒；</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（2）若为重点药物，系统则会自动检索是否已有病原学检验项目：</w:t>
      </w:r>
      <w:r/>
    </w:p>
    <w:p>
      <w:pPr>
        <w:ind w:firstLine="42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如有“病原学检验项目”，可保存医嘱;</w:t>
      </w:r>
      <w:r/>
    </w:p>
    <w:p>
      <w:pPr>
        <w:ind w:firstLine="42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如未开具“病原学检验项目”，则不能保存医嘱，</w:t>
      </w:r>
      <w:r>
        <w:rPr>
          <w:rFonts w:hint="eastAsia" w:asciiTheme="minorEastAsia" w:hAnsiTheme="minorEastAsia" w:cstheme="minorEastAsia"/>
          <w:sz w:val="24"/>
          <w:szCs w:val="24"/>
        </w:rPr>
        <w:t xml:space="preserve">弹窗提醒</w:t>
      </w:r>
      <w:r>
        <w:rPr>
          <w:rFonts w:hint="eastAsia" w:asciiTheme="minorEastAsia" w:hAnsiTheme="minorEastAsia" w:cstheme="minorEastAsia"/>
          <w:sz w:val="24"/>
          <w:szCs w:val="24"/>
        </w:rPr>
        <w:t xml:space="preserve">“该药物为重点药物，请先开具病原学检验项目”。开具病原学检验项目后方可保存抗菌药物医嘱。</w:t>
      </w:r>
      <w:r/>
    </w:p>
    <w:p>
      <w:pPr>
        <w:ind w:firstLine="420"/>
        <w:keepLines/>
        <w:keepNext/>
        <w:spacing w:line="400" w:lineRule="exact"/>
        <w:rPr>
          <w:rFonts w:asciiTheme="minorEastAsia" w:hAnsiTheme="minorEastAsia" w:cstheme="minorEastAsia"/>
          <w:b/>
          <w:bCs/>
          <w:sz w:val="24"/>
          <w:szCs w:val="24"/>
        </w:rPr>
        <w:outlineLvl w:val="2"/>
      </w:pPr>
      <w:r/>
      <w:bookmarkStart w:id="47" w:name="_Toc172053678"/>
      <w:r>
        <w:rPr>
          <w:rFonts w:hint="eastAsia" w:asciiTheme="minorEastAsia" w:hAnsiTheme="minorEastAsia" w:cstheme="minorEastAsia"/>
          <w:b/>
          <w:bCs/>
          <w:sz w:val="24"/>
          <w:szCs w:val="24"/>
        </w:rPr>
        <w:t xml:space="preserve">4.3.10消息管理系统</w:t>
      </w:r>
      <w:bookmarkEnd w:id="47"/>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1、消息机制</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实现基于TCP与UDP的即时消息通讯，同时也支持数据库级的离线消息机制，可进行消息的同步与异步发送与接收。</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2、消息管理</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实现消息的客户端展示界面，包括门户的缩略消息与消息中心，消息中心集成消息的显示、处理、发送、应用、查询功能。</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3、消息分类</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分为三大类消息功能，包括业务消息、即时对话消息与通知公告消息。业务消息包括药库、药房、门诊、住院、病区护士站、住院医生站、病历质控等系统模块的业务消息嵌入；系统消息包括业务审计、系统审计、性能审计、系统通知，可发送相关消息；对话消息支持用户间与群组内的对话消息。</w:t>
      </w:r>
      <w:r/>
    </w:p>
    <w:p>
      <w:pPr>
        <w:ind w:firstLine="420"/>
        <w:keepLines/>
        <w:keepNext/>
        <w:spacing w:line="400" w:lineRule="exact"/>
        <w:rPr>
          <w:rFonts w:asciiTheme="minorEastAsia" w:hAnsiTheme="minorEastAsia" w:cstheme="minorEastAsia"/>
          <w:b/>
          <w:bCs/>
          <w:sz w:val="24"/>
          <w:szCs w:val="24"/>
        </w:rPr>
        <w:outlineLvl w:val="2"/>
      </w:pPr>
      <w:r/>
      <w:bookmarkStart w:id="48" w:name="_Toc172053680"/>
      <w:r>
        <w:rPr>
          <w:rFonts w:hint="eastAsia" w:asciiTheme="minorEastAsia" w:hAnsiTheme="minorEastAsia" w:cstheme="minorEastAsia"/>
          <w:b/>
          <w:bCs/>
          <w:sz w:val="24"/>
          <w:szCs w:val="24"/>
        </w:rPr>
        <w:t xml:space="preserve">4.3.11会诊管理系统</w:t>
      </w:r>
      <w:bookmarkEnd w:id="48"/>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1、会诊申请</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选择应邀会诊的科室、医生会诊。</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2、临床信息查阅</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会诊申请被批准后，应邀科室医生可查看需会诊患者病历信息，支持多个医生同时对患者进行临床信息查阅，包括患者基本信息、费用信息、电子病历、检查检验等信息。</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3、会诊记录单</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会诊结束后，查阅功能自动取消，应邀会诊的医生书写会诊记录单。</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4、查询统计</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能够查询某一申请时间段内门诊、急诊、住院所有类型的会诊完成情况。</w:t>
      </w:r>
      <w:r/>
    </w:p>
    <w:p>
      <w:pPr>
        <w:ind w:firstLine="420"/>
        <w:keepLines/>
        <w:keepNext/>
        <w:spacing w:line="400" w:lineRule="exact"/>
        <w:rPr>
          <w:rFonts w:asciiTheme="minorEastAsia" w:hAnsiTheme="minorEastAsia" w:cstheme="minorEastAsia"/>
          <w:b/>
          <w:bCs/>
          <w:sz w:val="24"/>
          <w:szCs w:val="24"/>
        </w:rPr>
        <w:outlineLvl w:val="2"/>
      </w:pPr>
      <w:r/>
      <w:bookmarkStart w:id="49" w:name="_Toc172053681"/>
      <w:r>
        <w:rPr>
          <w:rFonts w:hint="eastAsia" w:asciiTheme="minorEastAsia" w:hAnsiTheme="minorEastAsia" w:cstheme="minorEastAsia"/>
          <w:b/>
          <w:bCs/>
          <w:sz w:val="24"/>
          <w:szCs w:val="24"/>
        </w:rPr>
        <w:t xml:space="preserve">4.3.12不良事件上报系统</w:t>
      </w:r>
      <w:bookmarkEnd w:id="49"/>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系统中有不良事件的报告、处理、改进与预防处理记录，不良事件内容实现全院共享。</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1、不良事件上报</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提供护理不良事件、医疗安全不良事件、医疗器械不良事件、药品不良事件四类不良事件上报，格式满足</w:t>
      </w:r>
      <w:r>
        <w:rPr>
          <w:rFonts w:hint="eastAsia" w:asciiTheme="minorEastAsia" w:hAnsiTheme="minorEastAsia" w:cstheme="minorEastAsia"/>
          <w:sz w:val="24"/>
          <w:szCs w:val="24"/>
        </w:rPr>
        <w:t xml:space="preserve">卫健委上报</w:t>
      </w:r>
      <w:r>
        <w:rPr>
          <w:rFonts w:hint="eastAsia" w:asciiTheme="minorEastAsia" w:hAnsiTheme="minorEastAsia" w:cstheme="minorEastAsia"/>
          <w:sz w:val="24"/>
          <w:szCs w:val="24"/>
        </w:rPr>
        <w:t xml:space="preserve">要求。</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护理不良事件有记录，能够对常见护理等不良事件发生的风险进行评估，包括：跌倒、压疮、用药错误、采血错误等。</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2、不良事件审批</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提供不良事件审批功能，根据不良事件类型，自动判断需审批人员。</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3、不良事件统计分析</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支持不良事件上报后的统计分析。</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4、不良事件导出上报</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支持不良事件导出，用于</w:t>
      </w:r>
      <w:r>
        <w:rPr>
          <w:rFonts w:hint="eastAsia" w:asciiTheme="minorEastAsia" w:hAnsiTheme="minorEastAsia" w:cstheme="minorEastAsia"/>
          <w:sz w:val="24"/>
          <w:szCs w:val="24"/>
        </w:rPr>
        <w:t xml:space="preserve">卫健委网站</w:t>
      </w:r>
      <w:r>
        <w:rPr>
          <w:rFonts w:hint="eastAsia" w:asciiTheme="minorEastAsia" w:hAnsiTheme="minorEastAsia" w:cstheme="minorEastAsia"/>
          <w:sz w:val="24"/>
          <w:szCs w:val="24"/>
        </w:rPr>
        <w:t xml:space="preserve">上报。</w:t>
      </w:r>
      <w:r/>
    </w:p>
    <w:p>
      <w:pPr>
        <w:ind w:firstLine="420"/>
        <w:keepLines/>
        <w:keepNext/>
        <w:spacing w:line="400" w:lineRule="exact"/>
        <w:rPr>
          <w:rFonts w:asciiTheme="minorEastAsia" w:hAnsiTheme="minorEastAsia" w:cstheme="minorEastAsia"/>
          <w:b/>
          <w:bCs/>
          <w:sz w:val="24"/>
          <w:szCs w:val="24"/>
        </w:rPr>
        <w:outlineLvl w:val="1"/>
      </w:pPr>
      <w:r/>
      <w:bookmarkStart w:id="50" w:name="_Toc172053682"/>
      <w:r>
        <w:rPr>
          <w:rFonts w:hint="eastAsia" w:asciiTheme="minorEastAsia" w:hAnsiTheme="minorEastAsia" w:cstheme="minorEastAsia"/>
          <w:b/>
          <w:bCs/>
          <w:sz w:val="24"/>
          <w:szCs w:val="24"/>
        </w:rPr>
        <w:t xml:space="preserve">4.4检验管理</w:t>
      </w:r>
      <w:bookmarkEnd w:id="50"/>
      <w:r/>
      <w:r/>
    </w:p>
    <w:p>
      <w:pPr>
        <w:ind w:firstLine="420"/>
        <w:keepLines/>
        <w:keepNext/>
        <w:spacing w:line="400" w:lineRule="exact"/>
        <w:rPr>
          <w:rFonts w:asciiTheme="minorEastAsia" w:hAnsiTheme="minorEastAsia" w:cstheme="minorEastAsia"/>
          <w:b/>
          <w:bCs/>
          <w:sz w:val="24"/>
          <w:szCs w:val="24"/>
        </w:rPr>
        <w:outlineLvl w:val="2"/>
      </w:pPr>
      <w:r/>
      <w:bookmarkStart w:id="51" w:name="_Toc172053683"/>
      <w:r>
        <w:rPr>
          <w:rFonts w:hint="eastAsia" w:asciiTheme="minorEastAsia" w:hAnsiTheme="minorEastAsia" w:cstheme="minorEastAsia"/>
          <w:b/>
          <w:bCs/>
          <w:sz w:val="24"/>
          <w:szCs w:val="24"/>
        </w:rPr>
        <w:t xml:space="preserve">4.4.1中心血库管理系统</w:t>
      </w:r>
      <w:bookmarkEnd w:id="51"/>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1、临床输血申请</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常规输血申请前先进行输血前评估。</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申请单自动获取病人信息。</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申请单能自动获取检查检验结果。</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对常规输血进行分级管理。</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输血知情同意书的自动管理等内容。</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2、审证用血管理</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记录审证用血量与品种，查询和统计病人的审证用量。</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对审证量&lt;用血量的病人进行警示。</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当审证量不足时，自动提醒医生。</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3、输血申请单（输血医嘱）执行</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复核和执行医嘱，对需要配血的病人，打印配血条码等。</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配血血样的采集管理。</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4、交叉配血</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显示患者的历史检测信息，累计用血量；配血检测结果自动从仪器中获取，打印交叉配血单等，查询交叉配血信息。</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5、取血和发血管理</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实现电子化的取血和发血。取</w:t>
      </w:r>
      <w:r>
        <w:rPr>
          <w:rFonts w:hint="eastAsia" w:asciiTheme="minorEastAsia" w:hAnsiTheme="minorEastAsia" w:cstheme="minorEastAsia"/>
          <w:sz w:val="24"/>
          <w:szCs w:val="24"/>
        </w:rPr>
        <w:t xml:space="preserve">血信息</w:t>
      </w:r>
      <w:r>
        <w:rPr>
          <w:rFonts w:hint="eastAsia" w:asciiTheme="minorEastAsia" w:hAnsiTheme="minorEastAsia" w:cstheme="minorEastAsia"/>
          <w:sz w:val="24"/>
          <w:szCs w:val="24"/>
        </w:rPr>
        <w:t xml:space="preserve">自动发送到护士站和医生站。</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6、输血过程管理</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使用PDA现场记录或完成后进行输血过程记录。</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7、血液入库</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将血站送到医院的血制品进行入库登记。</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8、监控和预警</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支持血液有效期预警、库存量预警、血库需备血预警、标本流转监控、血袋流转监控、拟输血患者监控、不良反应患者监控等。</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9、血液库存管理</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支持血库库存查询。</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提供血液失效登记。</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提供用血相关统计分析。</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10、信息化管理系统至少包含以下功能：</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1、输血医嘱的管理</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2、血液出入库的管理</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3、血液的库存管理</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4、血液基本信息的管理</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5、</w:t>
      </w:r>
      <w:r>
        <w:rPr>
          <w:rFonts w:hint="eastAsia" w:asciiTheme="minorEastAsia" w:hAnsiTheme="minorEastAsia" w:cstheme="minorEastAsia"/>
          <w:sz w:val="24"/>
          <w:szCs w:val="24"/>
        </w:rPr>
        <w:t xml:space="preserve">配发血</w:t>
      </w:r>
      <w:r>
        <w:rPr>
          <w:rFonts w:hint="eastAsia" w:asciiTheme="minorEastAsia" w:hAnsiTheme="minorEastAsia" w:cstheme="minorEastAsia"/>
          <w:sz w:val="24"/>
          <w:szCs w:val="24"/>
        </w:rPr>
        <w:t xml:space="preserve">的管理</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6、用户权限的管理</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7、输血相容性检测项目的管理</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8、查询统计功能</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bCs/>
          <w:sz w:val="24"/>
          <w:szCs w:val="24"/>
        </w:rPr>
        <w:t xml:space="preserve">9、输血信息化管理系统功能完善，与院内LIS、HIS、移动护理、手</w:t>
      </w:r>
      <w:r>
        <w:rPr>
          <w:rFonts w:hint="eastAsia" w:asciiTheme="minorEastAsia" w:hAnsiTheme="minorEastAsia" w:cstheme="minorEastAsia"/>
          <w:bCs/>
          <w:sz w:val="24"/>
          <w:szCs w:val="24"/>
        </w:rPr>
        <w:t xml:space="preserve">麻系统</w:t>
      </w:r>
      <w:r>
        <w:rPr>
          <w:rFonts w:hint="eastAsia" w:asciiTheme="minorEastAsia" w:hAnsiTheme="minorEastAsia" w:cstheme="minorEastAsia"/>
          <w:bCs/>
          <w:sz w:val="24"/>
          <w:szCs w:val="24"/>
        </w:rPr>
        <w:t xml:space="preserve">连接。</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10、输血信息化管理涵盖临床输血的全过程（包括输血申请、血液院内运输、输血不良反应反馈等）</w:t>
      </w:r>
      <w:r/>
    </w:p>
    <w:p>
      <w:pPr>
        <w:ind w:firstLine="420"/>
        <w:keepLines/>
        <w:keepNext/>
        <w:spacing w:line="400" w:lineRule="exact"/>
        <w:rPr>
          <w:rFonts w:asciiTheme="minorEastAsia" w:hAnsiTheme="minorEastAsia" w:cstheme="minorEastAsia"/>
          <w:b/>
          <w:bCs/>
          <w:sz w:val="24"/>
          <w:szCs w:val="24"/>
        </w:rPr>
        <w:outlineLvl w:val="2"/>
      </w:pPr>
      <w:r/>
      <w:bookmarkStart w:id="52" w:name="_Toc172053684"/>
      <w:r>
        <w:rPr>
          <w:rFonts w:hint="eastAsia" w:asciiTheme="minorEastAsia" w:hAnsiTheme="minorEastAsia" w:cstheme="minorEastAsia"/>
          <w:b/>
          <w:bCs/>
          <w:sz w:val="24"/>
          <w:szCs w:val="24"/>
        </w:rPr>
        <w:t xml:space="preserve">4.4.2检验系统</w:t>
      </w:r>
      <w:bookmarkEnd w:id="52"/>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1、标本登记</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主要是完成来自门诊或病房的化验申请单的手工登记工作。</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2、批量处理</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完成对病人资料和结果数据的成批修改、删除，以及对体检标本的成批登记。</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3、结果输入</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主要对手工结果的输入和修改，以及对一些阴阳性结果的成批输入。</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出现危急检验结果时能够通过系统及时向临床科室发出警示。</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对支持仪器实现双向数据交换。</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4、标本核收</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通过扫描条码接收病区中合格的标本并自动完成计费，并把不合格的标本退回病区。</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5、科研/学习登记</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主要登记科研人员的科研成果，以便主任奖励或管理人员。</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6、历史结果回顾</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病人在系统中的唯一编号查询本次检验项目对应的历史结果和</w:t>
      </w:r>
      <w:r>
        <w:rPr>
          <w:rFonts w:hint="eastAsia" w:asciiTheme="minorEastAsia" w:hAnsiTheme="minorEastAsia" w:cstheme="minorEastAsia"/>
          <w:sz w:val="24"/>
          <w:szCs w:val="24"/>
        </w:rPr>
        <w:t xml:space="preserve">现结果</w:t>
      </w:r>
      <w:r>
        <w:rPr>
          <w:rFonts w:hint="eastAsia" w:asciiTheme="minorEastAsia" w:hAnsiTheme="minorEastAsia" w:cstheme="minorEastAsia"/>
          <w:sz w:val="24"/>
          <w:szCs w:val="24"/>
        </w:rPr>
        <w:t xml:space="preserve">进行比较。</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7、结果审核</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系统根据审核人员事先设定的审核条件对病人的检验结果进行智能分析，并根据不同的结果提示，决定报告单是否签发、是否需重做或需</w:t>
      </w:r>
      <w:r>
        <w:rPr>
          <w:rFonts w:hint="eastAsia" w:asciiTheme="minorEastAsia" w:hAnsiTheme="minorEastAsia" w:cstheme="minorEastAsia"/>
          <w:sz w:val="24"/>
          <w:szCs w:val="24"/>
        </w:rPr>
        <w:t xml:space="preserve">重采</w:t>
      </w:r>
      <w:r>
        <w:rPr>
          <w:rFonts w:hint="eastAsia" w:asciiTheme="minorEastAsia" w:hAnsiTheme="minorEastAsia" w:cstheme="minorEastAsia"/>
          <w:sz w:val="24"/>
          <w:szCs w:val="24"/>
        </w:rPr>
        <w:t xml:space="preserve">集标本等处理意见；支持项目审核参数设定，系统可根据项目预先设置的审核规则，形成智能化的审核模式。提供漏做提醒，提供超出审核范围提醒。</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8、系统误差纠正</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主要完成对同一批标本的结果根据当天的质控情况，确定截距和斜率对标本的结果进行系统误差的纠正。</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9、报告单查询</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根据提供的标本信息综合查询符合条件的报告单，报告中的异常检验结果有标识。</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10、传染病报卡</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把符合某一种传染病条件的结果作为查询条件，检索出符合条件的病人信息，并打印出来报给防疫站。</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11、结果趋势查询</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查询某一病人在一段时期内，某一项目的结果变化的趋势情况。检验报告包括必要的数值、曲线、图像等。</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12、工作量统计</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统计检验科的工作量情况，可以按检验部门、检查项目、申请医生、操作人员、病人的就诊类别综合和分开统计工作量。</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13、工作进度分析</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主要是用来分析当天的各类标本的工作进度情况。</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14、信息修改查询</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查询操作者修改过的病人的基本信息及结果。</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15、科研统计</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统计某一段时间内某个项目的标准差、最大最小值及把某一段时间内的项目结果导成Excel文件。</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16、打印</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报告单打印：用于打印报告单，操作界面与</w:t>
      </w:r>
      <w:r>
        <w:rPr>
          <w:rFonts w:hint="eastAsia" w:asciiTheme="minorEastAsia" w:hAnsiTheme="minorEastAsia" w:cstheme="minorEastAsia"/>
          <w:sz w:val="24"/>
          <w:szCs w:val="24"/>
        </w:rPr>
        <w:t xml:space="preserve">主业务</w:t>
      </w:r>
      <w:r>
        <w:rPr>
          <w:rFonts w:hint="eastAsia" w:asciiTheme="minorEastAsia" w:hAnsiTheme="minorEastAsia" w:cstheme="minorEastAsia"/>
          <w:sz w:val="24"/>
          <w:szCs w:val="24"/>
        </w:rPr>
        <w:t xml:space="preserve">窗口的报告单打印。</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工作清单打印：用来打印当天检验科本部门所做的</w:t>
      </w:r>
      <w:r>
        <w:rPr>
          <w:rFonts w:hint="eastAsia" w:asciiTheme="minorEastAsia" w:hAnsiTheme="minorEastAsia" w:cstheme="minorEastAsia"/>
          <w:sz w:val="24"/>
          <w:szCs w:val="24"/>
        </w:rPr>
        <w:t xml:space="preserve">各病人</w:t>
      </w:r>
      <w:r>
        <w:rPr>
          <w:rFonts w:hint="eastAsia" w:asciiTheme="minorEastAsia" w:hAnsiTheme="minorEastAsia" w:cstheme="minorEastAsia"/>
          <w:sz w:val="24"/>
          <w:szCs w:val="24"/>
        </w:rPr>
        <w:t xml:space="preserve">的汇总情况，操作界面如同测定清单打印。</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测定清单打印：主要用于打印当天的测定清单，用于归档和纸质保存。</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异常结果打印：主要用来打印当天体检病人中结果不正常的病人信息和结果信息，操作界面如同测定清单打印。</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17、标本、报告单收发记录表</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记录标本接收及报告单发送的详细情况统计。</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18、标本追踪管理</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条码管理，能够通过检验条码，支持标本各个环节的追踪接口，支持TAT节点监控；支持对标本流转节点跟踪，可查看各个标本实时状态。系统自动记录各个TAT节点的信息，标本TAT信息可通过图形化的界面直观地展示。</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19、质量指标的统计功能</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不合格标本的统计</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各类检验标本检验前周转时间、实验室内周转时间、总周转时间</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危急</w:t>
      </w:r>
      <w:r>
        <w:rPr>
          <w:rFonts w:hint="eastAsia" w:asciiTheme="minorEastAsia" w:hAnsiTheme="minorEastAsia" w:cstheme="minorEastAsia"/>
          <w:sz w:val="24"/>
          <w:szCs w:val="24"/>
        </w:rPr>
        <w:t xml:space="preserve">值处理</w:t>
      </w:r>
      <w:r>
        <w:rPr>
          <w:rFonts w:hint="eastAsia" w:asciiTheme="minorEastAsia" w:hAnsiTheme="minorEastAsia" w:cstheme="minorEastAsia"/>
          <w:sz w:val="24"/>
          <w:szCs w:val="24"/>
        </w:rPr>
        <w:t xml:space="preserve">等</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20、</w:t>
      </w:r>
      <w:r>
        <w:rPr>
          <w:rFonts w:hint="eastAsia" w:asciiTheme="minorEastAsia" w:hAnsiTheme="minorEastAsia" w:cstheme="minorEastAsia"/>
          <w:bCs/>
          <w:sz w:val="24"/>
          <w:szCs w:val="24"/>
        </w:rPr>
        <w:t xml:space="preserve">信息化管理系统功能完善，LIS系统与院内HIS连接。</w:t>
      </w:r>
      <w:r/>
    </w:p>
    <w:p>
      <w:pPr>
        <w:ind w:firstLine="420"/>
        <w:keepLines/>
        <w:keepNext/>
        <w:spacing w:line="400" w:lineRule="exact"/>
        <w:rPr>
          <w:rFonts w:asciiTheme="minorEastAsia" w:hAnsiTheme="minorEastAsia" w:cstheme="minorEastAsia"/>
          <w:b/>
          <w:bCs/>
          <w:sz w:val="24"/>
          <w:szCs w:val="24"/>
        </w:rPr>
        <w:outlineLvl w:val="2"/>
      </w:pPr>
      <w:r/>
      <w:bookmarkStart w:id="53" w:name="_Toc172053685"/>
      <w:r>
        <w:rPr>
          <w:rFonts w:hint="eastAsia" w:asciiTheme="minorEastAsia" w:hAnsiTheme="minorEastAsia" w:cstheme="minorEastAsia"/>
          <w:b/>
          <w:bCs/>
          <w:sz w:val="24"/>
          <w:szCs w:val="24"/>
        </w:rPr>
        <w:t xml:space="preserve">4.4.3试剂系统</w:t>
      </w:r>
      <w:bookmarkEnd w:id="53"/>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1、条码管理</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采用条码化管理模式，入库时生成试剂条码。条码规格包括有效期、开瓶效期、批号等。</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2、采购计划自动产生</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根据试剂之前的实际使用情况、库存的情况、试剂的最低库存量，自动安排试剂的采购计划，以满足实际使用。</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3、开闭瓶管理</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仪器在添加试剂或者更换试剂时，对添加时间及数量进行记录，试剂使用完成后</w:t>
      </w:r>
      <w:r>
        <w:rPr>
          <w:rFonts w:hint="eastAsia" w:asciiTheme="minorEastAsia" w:hAnsiTheme="minorEastAsia" w:cstheme="minorEastAsia"/>
          <w:sz w:val="24"/>
          <w:szCs w:val="24"/>
        </w:rPr>
        <w:t xml:space="preserve">自动闭瓶处理</w:t>
      </w:r>
      <w:r>
        <w:rPr>
          <w:rFonts w:hint="eastAsia" w:asciiTheme="minorEastAsia" w:hAnsiTheme="minorEastAsia" w:cstheme="minorEastAsia"/>
          <w:sz w:val="24"/>
          <w:szCs w:val="24"/>
        </w:rPr>
        <w:t xml:space="preserve">；支持统计开瓶</w:t>
      </w:r>
      <w:r>
        <w:rPr>
          <w:rFonts w:hint="eastAsia" w:asciiTheme="minorEastAsia" w:hAnsiTheme="minorEastAsia" w:cstheme="minorEastAsia"/>
          <w:sz w:val="24"/>
          <w:szCs w:val="24"/>
        </w:rPr>
        <w:t xml:space="preserve">到闭瓶的</w:t>
      </w:r>
      <w:r>
        <w:rPr>
          <w:rFonts w:hint="eastAsia" w:asciiTheme="minorEastAsia" w:hAnsiTheme="minorEastAsia" w:cstheme="minorEastAsia"/>
          <w:sz w:val="24"/>
          <w:szCs w:val="24"/>
        </w:rPr>
        <w:t xml:space="preserve">标本实际测试数、理论测试数，计算损耗的数量；支持对不同批次的试剂进行数据结果分析，得到不同批次试剂检测标本存在的检测的差异性。</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4、试剂成本核算</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支持根据时间范围、统计类型（按部门、供应商、仪器名称、试剂种类、成本核算统计）、实际样本数及试剂消耗数量，统计项目的实际成本及理论成本。</w:t>
      </w:r>
      <w:r/>
    </w:p>
    <w:p>
      <w:pPr>
        <w:ind w:firstLine="420"/>
        <w:keepLines/>
        <w:keepNext/>
        <w:spacing w:line="400" w:lineRule="exact"/>
        <w:rPr>
          <w:rFonts w:asciiTheme="minorEastAsia" w:hAnsiTheme="minorEastAsia" w:cstheme="minorEastAsia"/>
          <w:b/>
          <w:bCs/>
          <w:sz w:val="24"/>
          <w:szCs w:val="24"/>
        </w:rPr>
        <w:outlineLvl w:val="2"/>
      </w:pPr>
      <w:r/>
      <w:bookmarkStart w:id="54" w:name="_Toc172053686"/>
      <w:r>
        <w:rPr>
          <w:rFonts w:hint="eastAsia" w:asciiTheme="minorEastAsia" w:hAnsiTheme="minorEastAsia" w:cstheme="minorEastAsia"/>
          <w:b/>
          <w:bCs/>
          <w:sz w:val="24"/>
          <w:szCs w:val="24"/>
        </w:rPr>
        <w:t xml:space="preserve">4.4.4门诊条码管理系统</w:t>
      </w:r>
      <w:bookmarkEnd w:id="54"/>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提供给标本采集的人员执行门诊病人的已经付费的检验医嘱并产生条码，打印条码标签和病人的回执单，病人的回执单上的信息包含病人的基本信息、检验的项目信息、拿报告单的时间和地点等信息。</w:t>
      </w:r>
      <w:r/>
    </w:p>
    <w:p>
      <w:pPr>
        <w:ind w:firstLine="420"/>
        <w:keepLines/>
        <w:keepNext/>
        <w:spacing w:line="400" w:lineRule="exact"/>
        <w:rPr>
          <w:rFonts w:asciiTheme="minorEastAsia" w:hAnsiTheme="minorEastAsia" w:cstheme="minorEastAsia"/>
          <w:b/>
          <w:bCs/>
          <w:sz w:val="24"/>
          <w:szCs w:val="24"/>
        </w:rPr>
        <w:outlineLvl w:val="2"/>
      </w:pPr>
      <w:r/>
      <w:bookmarkStart w:id="55" w:name="_Toc172053687"/>
      <w:r>
        <w:rPr>
          <w:rFonts w:hint="eastAsia" w:asciiTheme="minorEastAsia" w:hAnsiTheme="minorEastAsia" w:cstheme="minorEastAsia"/>
          <w:b/>
          <w:bCs/>
          <w:sz w:val="24"/>
          <w:szCs w:val="24"/>
        </w:rPr>
        <w:t xml:space="preserve">4.4.5检验报告自助打印</w:t>
      </w:r>
      <w:bookmarkEnd w:id="55"/>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与自助打印的硬件设备配合，病人通过刷就诊卡或者扫描条码，系统能够通过设备自动打印该病人在设定的时间段内没有打印过的检验报告单，方便病人快速拿到报告单，有效避免报告单的二次污染和保密问题。</w:t>
      </w:r>
      <w:r/>
    </w:p>
    <w:p>
      <w:pPr>
        <w:ind w:firstLine="420"/>
        <w:keepLines/>
        <w:keepNext/>
        <w:spacing w:line="400" w:lineRule="exact"/>
        <w:rPr>
          <w:rFonts w:asciiTheme="minorEastAsia" w:hAnsiTheme="minorEastAsia" w:cstheme="minorEastAsia"/>
          <w:b/>
          <w:bCs/>
          <w:sz w:val="24"/>
          <w:szCs w:val="24"/>
        </w:rPr>
        <w:outlineLvl w:val="2"/>
      </w:pPr>
      <w:r/>
      <w:bookmarkStart w:id="56" w:name="_Toc172053688"/>
      <w:r>
        <w:rPr>
          <w:rFonts w:hint="eastAsia" w:asciiTheme="minorEastAsia" w:hAnsiTheme="minorEastAsia" w:cstheme="minorEastAsia"/>
          <w:b/>
          <w:bCs/>
          <w:sz w:val="24"/>
          <w:szCs w:val="24"/>
        </w:rPr>
        <w:t xml:space="preserve">4.4.6检验微生物系统</w:t>
      </w:r>
      <w:bookmarkEnd w:id="56"/>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1、业务处理</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标本登记：完成来自门诊或病房的化验申请单的手工登记工作。</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标本核收：通过扫描条码接收病区中合格的标本并自动完成计费，并把不合格的标本退回病区。</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微生物结果处理：手工输入标本培养的阴阳性结果，输入人工鉴定出的细菌菌株和相应的药敏鉴定结果，以及细菌的菌量、两种</w:t>
      </w:r>
      <w:r>
        <w:rPr>
          <w:rFonts w:hint="eastAsia" w:asciiTheme="minorEastAsia" w:hAnsiTheme="minorEastAsia" w:cstheme="minorEastAsia"/>
          <w:sz w:val="24"/>
          <w:szCs w:val="24"/>
        </w:rPr>
        <w:t xml:space="preserve">菌</w:t>
      </w:r>
      <w:r>
        <w:rPr>
          <w:rFonts w:hint="eastAsia" w:asciiTheme="minorEastAsia" w:hAnsiTheme="minorEastAsia" w:cstheme="minorEastAsia"/>
          <w:sz w:val="24"/>
          <w:szCs w:val="24"/>
        </w:rPr>
        <w:t xml:space="preserve">以上各占的百分比，专家提示等处理。</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分级报告：微生物标本在培养过程中给予分级报告，方便病人及时用药。</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阴性结果默认成批输入：对于批量阴性的标本培养结果，根据标本的检查目的和标本类型自动对应相应的阴性的培养结果的描述，有利于大量的体检标本的输入。</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菌种管理：对微生物</w:t>
      </w:r>
      <w:r>
        <w:rPr>
          <w:rFonts w:hint="eastAsia" w:asciiTheme="minorEastAsia" w:hAnsiTheme="minorEastAsia" w:cstheme="minorEastAsia"/>
          <w:sz w:val="24"/>
          <w:szCs w:val="24"/>
        </w:rPr>
        <w:t xml:space="preserve">质控及菌种</w:t>
      </w:r>
      <w:r>
        <w:rPr>
          <w:rFonts w:hint="eastAsia" w:asciiTheme="minorEastAsia" w:hAnsiTheme="minorEastAsia" w:cstheme="minorEastAsia"/>
          <w:sz w:val="24"/>
          <w:szCs w:val="24"/>
        </w:rPr>
        <w:t xml:space="preserve">进行管理。</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2、统计分析</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标本阳性率：根据各种条件（如申请科室、病人的就诊类别等）统计标本的阳性检出率报表。</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多重耐药菌：针对细菌的培养结果，统计多重耐药菌菌株。</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标本阳性率追踪报告：根据各种条件（如申请科室、病人的就诊类别等）统计标本的阳性检出率的追踪报告。</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细菌检出率统计：根据各种条件（如申请科室、病人的就诊类别等）统计标本的细菌检出率报表。</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细菌发生率追踪报告：根据各种条件（如申请科室、病人的就诊类别等）统计标本的细菌检出率的追踪报告。</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抗生素总耐药性：根据各种条件（如申请科室、病人的就诊类别等）统计所有实验室所使用的抗生素对检出的细菌总耐药性分析报表。</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抗生素耐药性追踪报告：根据各种条件（如申请科室、病人的就诊类别等）统计所有实验室所使用的抗生素对检出的细菌总耐药性的追踪报告。</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选定细菌抗生素耐药性分析：根据各种条件（如申请科室、病人的就诊类别等）统计选定的细菌对各种抗生素耐药性分析。</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选定抗生素细菌耐药性分析：根据各种条件（如申请科室、病人的就诊类别等）统计选定的抗生素对各种细菌耐药性分析。</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耐药率敏感率中介率统计：统计实验室的抗生素对检出细菌耐药率敏感率中介率的综合报表。</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抗生素对比分散图：统计选定的两种抗生素对一种细菌的耐药性分析的散点图，可以分析抗生素联合使用的效果。</w:t>
      </w:r>
      <w:r/>
    </w:p>
    <w:p>
      <w:pPr>
        <w:ind w:firstLine="420"/>
        <w:keepLines/>
        <w:keepNext/>
        <w:spacing w:line="400" w:lineRule="exact"/>
        <w:rPr>
          <w:rFonts w:asciiTheme="minorEastAsia" w:hAnsiTheme="minorEastAsia" w:cstheme="minorEastAsia"/>
          <w:b/>
          <w:bCs/>
          <w:sz w:val="24"/>
          <w:szCs w:val="24"/>
        </w:rPr>
        <w:outlineLvl w:val="2"/>
      </w:pPr>
      <w:r/>
      <w:bookmarkStart w:id="57" w:name="_Toc172053689"/>
      <w:r>
        <w:rPr>
          <w:rFonts w:hint="eastAsia" w:asciiTheme="minorEastAsia" w:hAnsiTheme="minorEastAsia" w:cstheme="minorEastAsia"/>
          <w:b/>
          <w:bCs/>
          <w:sz w:val="24"/>
          <w:szCs w:val="24"/>
        </w:rPr>
        <w:t xml:space="preserve">4.4.7知识库</w:t>
      </w:r>
      <w:bookmarkEnd w:id="57"/>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提供检验知识库，用于检验分析前质量控制、检验后报告解读过程管理。</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支持静态知识数据的录入、修改和删除。</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提供主动提示规则的维护和管理。</w:t>
      </w:r>
      <w:r/>
    </w:p>
    <w:p>
      <w:pPr>
        <w:ind w:firstLine="420"/>
        <w:keepLines/>
        <w:keepNext/>
        <w:spacing w:line="400" w:lineRule="exact"/>
        <w:rPr>
          <w:rFonts w:asciiTheme="minorEastAsia" w:hAnsiTheme="minorEastAsia" w:cstheme="minorEastAsia"/>
          <w:b/>
          <w:bCs/>
          <w:sz w:val="24"/>
          <w:szCs w:val="24"/>
        </w:rPr>
        <w:outlineLvl w:val="1"/>
      </w:pPr>
      <w:r/>
      <w:bookmarkStart w:id="58" w:name="_Toc172053690"/>
      <w:r>
        <w:rPr>
          <w:rFonts w:hint="eastAsia" w:asciiTheme="minorEastAsia" w:hAnsiTheme="minorEastAsia" w:cstheme="minorEastAsia"/>
          <w:b/>
          <w:bCs/>
          <w:sz w:val="24"/>
          <w:szCs w:val="24"/>
        </w:rPr>
        <w:t xml:space="preserve">4.5护理管理</w:t>
      </w:r>
      <w:bookmarkEnd w:id="58"/>
      <w:r/>
      <w:r/>
    </w:p>
    <w:p>
      <w:pPr>
        <w:ind w:firstLine="420"/>
        <w:keepLines/>
        <w:keepNext/>
        <w:spacing w:line="400" w:lineRule="exact"/>
        <w:rPr>
          <w:rFonts w:asciiTheme="minorEastAsia" w:hAnsiTheme="minorEastAsia" w:cstheme="minorEastAsia"/>
          <w:b/>
          <w:bCs/>
          <w:sz w:val="24"/>
          <w:szCs w:val="24"/>
        </w:rPr>
        <w:outlineLvl w:val="2"/>
      </w:pPr>
      <w:r/>
      <w:bookmarkStart w:id="59" w:name="_Toc172053691"/>
      <w:r>
        <w:rPr>
          <w:rFonts w:hint="eastAsia" w:asciiTheme="minorEastAsia" w:hAnsiTheme="minorEastAsia" w:cstheme="minorEastAsia"/>
          <w:b/>
          <w:bCs/>
          <w:sz w:val="24"/>
          <w:szCs w:val="24"/>
        </w:rPr>
        <w:t xml:space="preserve">4.5.1病区护士工作站</w:t>
      </w:r>
      <w:bookmarkEnd w:id="59"/>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1、通知消息</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对院内发布的通知公告进行集中查询和确认。</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2、业务消息</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对系统的业务消息进行查询和确认，包括药</w:t>
      </w:r>
      <w:r>
        <w:rPr>
          <w:rFonts w:hint="eastAsia" w:asciiTheme="minorEastAsia" w:hAnsiTheme="minorEastAsia" w:cstheme="minorEastAsia"/>
          <w:sz w:val="24"/>
          <w:szCs w:val="24"/>
        </w:rPr>
        <w:t xml:space="preserve">库增加</w:t>
      </w:r>
      <w:r>
        <w:rPr>
          <w:rFonts w:hint="eastAsia" w:asciiTheme="minorEastAsia" w:hAnsiTheme="minorEastAsia" w:cstheme="minorEastAsia"/>
          <w:sz w:val="24"/>
          <w:szCs w:val="24"/>
        </w:rPr>
        <w:t xml:space="preserve">新药、药库调价等业务消息处理。</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支持相关费用及业务未操作完成时给予消息提醒、如他科治疗、转科病人未完成业务等。</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提供危机值提醒。</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3、床位卡片</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支持病区病人按床位细卡、床位简卡、列表展示，提供住院病人床位分配、换床、包床、</w:t>
      </w:r>
      <w:r>
        <w:rPr>
          <w:rFonts w:hint="eastAsia" w:asciiTheme="minorEastAsia" w:hAnsiTheme="minorEastAsia" w:cstheme="minorEastAsia"/>
          <w:sz w:val="24"/>
          <w:szCs w:val="24"/>
        </w:rPr>
        <w:t xml:space="preserve">转床功能</w:t>
      </w:r>
      <w:r>
        <w:rPr>
          <w:rFonts w:hint="eastAsia" w:asciiTheme="minorEastAsia" w:hAnsiTheme="minorEastAsia" w:cstheme="minorEastAsia"/>
          <w:sz w:val="24"/>
          <w:szCs w:val="24"/>
        </w:rPr>
        <w:t xml:space="preserve">。</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支持显示患者的详细信息，包括床位号、住院号码、姓名、性别、年龄、头像，性质、护理级别、过敏药物、新入院病人、入院日期、诊断、主任医师、病人科室、出院标志等。</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4、医嘱复核</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支持对医生医嘱、护理医嘱进行复核，能明显区分护士录入医嘱或医生录入医嘱等信息。</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提供全病区复核以及取消复核功能。</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支持将附加计价的项目同步显示到主医嘱列表中，并在主医嘱后以颜色标识。</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提供医技退回作废处理功能。</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5、医嘱录入</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提供录入纸质医嘱或病区护士医嘱录入功能，能够录入长期医嘱、临时医嘱、急诊医嘱和出院带药医嘱。</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提供过敏药物在病区医嘱录入时的提示和控制。</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医嘱录入支持多种包装（可选大包装或小包装），相关录入药品处支持药品价格的显示。</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医技检查项目复核后，可根据病区设置选项决定是否立即提交。</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支持过敏药物在病区医嘱录入时的提示和控制。</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6、医嘱计划</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对医生医嘱、护理医嘱的执行计划产生，提供手工产生和自动产生功能。</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提供医嘱计划展示，可查看该医嘱的全部医嘱计划，基于计划查询所有的医嘱状态功能。</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医嘱计划查询功能以颜色进行区分是否执行。</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提供病区不发药的计划处理功能。</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7、医嘱执行</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支持对单个病人进行药品医嘱提交、项目医嘱提交、项目医嘱、附加医嘱、嘱托医嘱记费。</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支持病区的项目医嘱执行，附加计价执行。</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支持医嘱停</w:t>
      </w:r>
      <w:r>
        <w:rPr>
          <w:rFonts w:hint="eastAsia" w:asciiTheme="minorEastAsia" w:hAnsiTheme="minorEastAsia" w:cstheme="minorEastAsia"/>
          <w:sz w:val="24"/>
          <w:szCs w:val="24"/>
        </w:rPr>
        <w:t xml:space="preserve">嘱</w:t>
      </w:r>
      <w:r>
        <w:rPr>
          <w:rFonts w:hint="eastAsia" w:asciiTheme="minorEastAsia" w:hAnsiTheme="minorEastAsia" w:cstheme="minorEastAsia"/>
          <w:sz w:val="24"/>
          <w:szCs w:val="24"/>
        </w:rPr>
        <w:t xml:space="preserve">后，按停</w:t>
      </w:r>
      <w:r>
        <w:rPr>
          <w:rFonts w:hint="eastAsia" w:asciiTheme="minorEastAsia" w:hAnsiTheme="minorEastAsia" w:cstheme="minorEastAsia"/>
          <w:sz w:val="24"/>
          <w:szCs w:val="24"/>
        </w:rPr>
        <w:t xml:space="preserve">嘱</w:t>
      </w:r>
      <w:r>
        <w:rPr>
          <w:rFonts w:hint="eastAsia" w:asciiTheme="minorEastAsia" w:hAnsiTheme="minorEastAsia" w:cstheme="minorEastAsia"/>
          <w:sz w:val="24"/>
          <w:szCs w:val="24"/>
        </w:rPr>
        <w:t xml:space="preserve">时间及使用频次正确计算实际所需要发的药品，多余的药品自动不发，并且能在发药清单中打印出不发的药品。</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支持对多个病人进行药品医嘱提交、项目医嘱提交、项目医嘱、附加医嘱、嘱托医嘱记费。</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患者的药品支持预领修改领药的时间修改。</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支持病区长期医嘱增加首日用药次数的输入，药房按首日次数来执行。</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8、医嘱退药</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对病人退药申请功能，支持按药品、记费日期、费用日期进行退药、退费。</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支持退药不退回实物，方便护士工作人员。</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医生停</w:t>
      </w:r>
      <w:r>
        <w:rPr>
          <w:rFonts w:hint="eastAsia" w:asciiTheme="minorEastAsia" w:hAnsiTheme="minorEastAsia" w:cstheme="minorEastAsia"/>
          <w:sz w:val="24"/>
          <w:szCs w:val="24"/>
        </w:rPr>
        <w:t xml:space="preserve">嘱</w:t>
      </w:r>
      <w:r>
        <w:rPr>
          <w:rFonts w:hint="eastAsia" w:asciiTheme="minorEastAsia" w:hAnsiTheme="minorEastAsia" w:cstheme="minorEastAsia"/>
          <w:sz w:val="24"/>
          <w:szCs w:val="24"/>
        </w:rPr>
        <w:t xml:space="preserve">后支持自动生成退药单。</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9、补退费</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提供对病人进行补费与退费操作。</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10、医嘱查询</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提供对病人所有医嘱（</w:t>
      </w:r>
      <w:r>
        <w:rPr>
          <w:rFonts w:hint="eastAsia" w:asciiTheme="minorEastAsia" w:hAnsiTheme="minorEastAsia" w:cstheme="minorEastAsia"/>
          <w:sz w:val="24"/>
          <w:szCs w:val="24"/>
        </w:rPr>
        <w:t xml:space="preserve">含历史</w:t>
      </w:r>
      <w:r>
        <w:rPr>
          <w:rFonts w:hint="eastAsia" w:asciiTheme="minorEastAsia" w:hAnsiTheme="minorEastAsia" w:cstheme="minorEastAsia"/>
          <w:sz w:val="24"/>
          <w:szCs w:val="24"/>
        </w:rPr>
        <w:t xml:space="preserve">医嘱）和医嘱附加项、医嘱计费进行查询。</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支持对各种类型的医嘱进行区分，变动医嘱计划查询。</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11、账户查询</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支持对病人住院账户明细、汇总费用进行查询打印。</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12、待完成事项</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支持针对他科治疗、已转科病人、正常在科室病人检查待完成的操作（不受医生出院证约束），检查内容</w:t>
      </w:r>
      <w:r>
        <w:rPr>
          <w:rFonts w:hint="eastAsia" w:asciiTheme="minorEastAsia" w:hAnsiTheme="minorEastAsia" w:cstheme="minorEastAsia"/>
          <w:sz w:val="24"/>
          <w:szCs w:val="24"/>
        </w:rPr>
        <w:t xml:space="preserve">同通知</w:t>
      </w:r>
      <w:r>
        <w:rPr>
          <w:rFonts w:hint="eastAsia" w:asciiTheme="minorEastAsia" w:hAnsiTheme="minorEastAsia" w:cstheme="minorEastAsia"/>
          <w:sz w:val="24"/>
          <w:szCs w:val="24"/>
        </w:rPr>
        <w:t xml:space="preserve">出院时检查的内容，含医嘱未停、未提交、未执行，手术申请未安排，手术记录未完成，退药医嘱未确认或未提交。</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13、医嘱打印</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对多个病人进行医嘱卡片打印，支持口服卡、注射卡、静滴卡、饮食卡等多种医嘱卡片打印，医嘱卡片格式有固定格式和自定义格式。</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支持已不在本病区的病人的医嘱打印和出院病人的医嘱打印。</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医嘱卡片打印可以按照时间去选择。支持多选病人打印卡片。</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支持执行周期内的医嘱汇总显示。</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14、会诊处理</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提供会诊申请、会诊处理、取消会诊整个会诊流程。</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15、转科处理</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提供病人转科申请、转科确认。</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提供转科费用控制提醒。</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支持转科医嘱查询与医嘱退回。</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16、他科治疗</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支持其他科室介入治疗的功能，分他科治疗申请、治疗接收、治疗结束3个步骤，他科治疗过程中可以由其他科室录入医嘱。</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17、皮试结果录入</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提供原液和皮试液，进行病人皮试，并将记录结果。</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提供医嘱中增加皮试药品处理功能及皮试脱敏。</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18、医技预约</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提供病区医技预约功能，对本病区的检查单由护士直接预约，并打印预约告知单。</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支持护士对患者的检查预约单进行改约、取消预约、重约功能，方便护士操作。</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19、通知出院</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提供出院证办理，病人床位卡上需显示出院图标，通知出院。已通知出院的病人腾空床位。</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支持取消通知出院。</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20、护士排班</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提供病区护士排班功能，并能对护士排班进行统计。</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支持统计本病区护士一段时间内的工作情况。</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评估本病区护士工作，根据费用项目的执行情况统计该日期段各操作员的工作。</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21、手术管理</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提供病区手术申请、作废、提交功能，支持手术安排查询。</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22、护理信息录入</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提供病区护士录入护理记录、生命体征、体温单等护理信息。</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提供重点患者标记功能，并可录入、查看每日动态。</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23、床位预定</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提供病区床位预定功能，能够智能计算床位腾空时间，病人可提前预定。</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24、床旁结算</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病人通知出院后，支持由收款员或者病区护士利用移动设备在床旁为患者提供出院结算服务。支持费用获取和试算、费用结算和结算凭证、发票打印、结账管理等。</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25、信息查询</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点</w:t>
      </w:r>
      <w:r>
        <w:rPr>
          <w:rFonts w:hint="eastAsia" w:asciiTheme="minorEastAsia" w:hAnsiTheme="minorEastAsia" w:cstheme="minorEastAsia"/>
          <w:sz w:val="24"/>
          <w:szCs w:val="24"/>
        </w:rPr>
        <w:t xml:space="preserve">选操作</w:t>
      </w:r>
      <w:r>
        <w:rPr>
          <w:rFonts w:hint="eastAsia" w:asciiTheme="minorEastAsia" w:hAnsiTheme="minorEastAsia" w:cstheme="minorEastAsia"/>
          <w:sz w:val="24"/>
          <w:szCs w:val="24"/>
        </w:rPr>
        <w:t xml:space="preserve">过的病人，都记录下操作时间到列表数据窗口。</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提供医嘱状态服务，提供病区医嘱退回操作的记录。</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支持医技科室没有执行的项目，护士站可查询并可直接退回。</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支持查询某段日期的病区（病人）退费情况。</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提供病区日志功能,可查询到该病区当日入院、当日出院、当日换床、患者流转人次统计等。</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26、界面管理</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支持显示当前操作员的姓名，切换操作员时可弹出用户名和密码输入窗口，更换当前操作员。</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停留在</w:t>
      </w:r>
      <w:r>
        <w:rPr>
          <w:rFonts w:hint="eastAsia" w:asciiTheme="minorEastAsia" w:hAnsiTheme="minorEastAsia" w:cstheme="minorEastAsia"/>
          <w:sz w:val="24"/>
          <w:szCs w:val="24"/>
        </w:rPr>
        <w:t xml:space="preserve">病区主</w:t>
      </w:r>
      <w:r>
        <w:rPr>
          <w:rFonts w:hint="eastAsia" w:asciiTheme="minorEastAsia" w:hAnsiTheme="minorEastAsia" w:cstheme="minorEastAsia"/>
          <w:sz w:val="24"/>
          <w:szCs w:val="24"/>
        </w:rPr>
        <w:t xml:space="preserve">界面上达到设定的时间时，可自动退出。</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支持床位分布：支持根据分辨率确定每行可显示的床位数。纵向可使用滚动条进行滚动。床位的颜色：普床，虚床，家床需要用不同的颜色区分，选中的床位也需使用不同的颜色区分。</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支持床位排序：病区系统的床位可以自定义排序（根据用户的排列顺序排列）。</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支持护士常用的菜单一体化集成，</w:t>
      </w:r>
      <w:r>
        <w:rPr>
          <w:rFonts w:hint="eastAsia" w:asciiTheme="minorEastAsia" w:hAnsiTheme="minorEastAsia" w:cstheme="minorEastAsia"/>
          <w:sz w:val="24"/>
          <w:szCs w:val="24"/>
        </w:rPr>
        <w:t xml:space="preserve">病区主</w:t>
      </w:r>
      <w:r>
        <w:rPr>
          <w:rFonts w:hint="eastAsia" w:asciiTheme="minorEastAsia" w:hAnsiTheme="minorEastAsia" w:cstheme="minorEastAsia"/>
          <w:sz w:val="24"/>
          <w:szCs w:val="24"/>
        </w:rPr>
        <w:t xml:space="preserve">界面重新获得焦点时自动刷新。</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27、护理记录单</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支持终端PDA数据录入。</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支持普通护理记录单、专科护理记录单，专科模板可自定义配置。</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支持护理模板统一编辑管理发布。</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提供护理评估单，对患者进行入院评估、疼痛评估、风险评估等。</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28、护理病历 体温单（</w:t>
      </w:r>
      <w:r>
        <w:rPr>
          <w:rFonts w:hint="eastAsia" w:asciiTheme="minorEastAsia" w:hAnsiTheme="minorEastAsia" w:cstheme="minorEastAsia"/>
          <w:sz w:val="24"/>
          <w:szCs w:val="24"/>
        </w:rPr>
        <w:t xml:space="preserve">三测单</w:t>
      </w:r>
      <w:r>
        <w:rPr>
          <w:rFonts w:hint="eastAsia" w:asciiTheme="minorEastAsia" w:hAnsiTheme="minorEastAsia" w:cstheme="minorEastAsia"/>
          <w:sz w:val="24"/>
          <w:szCs w:val="24"/>
        </w:rPr>
        <w:t xml:space="preserve">）</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支持根据病人的生命体征自动绘制体温单。</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体温单支持多种打印方式。</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提供根据病人的生命体征多种排序方式(体温明细)。</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29、共享服务</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提供检验申请单共享服务，医生开的检验信息病人能进行查看，并把信息传到检验系统。</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提供检查申请单共享服务，对于医生开具的相关检查医嘱复核执行到相关医技科室。</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提供用</w:t>
      </w:r>
      <w:r>
        <w:rPr>
          <w:rFonts w:hint="eastAsia" w:asciiTheme="minorEastAsia" w:hAnsiTheme="minorEastAsia" w:cstheme="minorEastAsia"/>
          <w:sz w:val="24"/>
          <w:szCs w:val="24"/>
        </w:rPr>
        <w:t xml:space="preserve">血信息</w:t>
      </w:r>
      <w:r>
        <w:rPr>
          <w:rFonts w:hint="eastAsia" w:asciiTheme="minorEastAsia" w:hAnsiTheme="minorEastAsia" w:cstheme="minorEastAsia"/>
          <w:sz w:val="24"/>
          <w:szCs w:val="24"/>
        </w:rPr>
        <w:t xml:space="preserve">共享服务，对于病人要用</w:t>
      </w:r>
      <w:r>
        <w:rPr>
          <w:rFonts w:hint="eastAsia" w:asciiTheme="minorEastAsia" w:hAnsiTheme="minorEastAsia" w:cstheme="minorEastAsia"/>
          <w:sz w:val="24"/>
          <w:szCs w:val="24"/>
        </w:rPr>
        <w:t xml:space="preserve">血申请</w:t>
      </w:r>
      <w:r>
        <w:rPr>
          <w:rFonts w:hint="eastAsia" w:asciiTheme="minorEastAsia" w:hAnsiTheme="minorEastAsia" w:cstheme="minorEastAsia"/>
          <w:sz w:val="24"/>
          <w:szCs w:val="24"/>
        </w:rPr>
        <w:t xml:space="preserve">护士能看到病人的用血信息，并把相关的信息传到血库系统。</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30、医嘱管理</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支持临时医嘱记账后根据系统选项可以保留当天，记账后不能修改。</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提供医嘱颜色区分：新开单医嘱为白色，提交医嘱为蓝色，未提交已记账医嘱为灰色。</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可持续性医嘱不受首日次数的限制。</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提供集中发药处理，在药房发药时不进行拆分发药。</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31、患者出院管理</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提供通知出院、转科中的未完成提示内容功能，出院证明需完善信息校验并提示。</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出院证办理操作需记录详细记录。</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支持出院证管理和取消出院功能。</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32、药箱管理</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对于患者自带药品或整包装未使用完的药品，可以用患者药箱对药品进行管理，医生下达医嘱后会优先判断患者药箱里面是否有剩余的药品，有药品时先扣减药箱的库存，没有药品时则发送到药房进行发药操作，退药流程反之。</w:t>
      </w:r>
      <w:r/>
    </w:p>
    <w:p>
      <w:pPr>
        <w:ind w:firstLine="420"/>
        <w:keepLines/>
        <w:keepNext/>
        <w:spacing w:line="400" w:lineRule="exact"/>
        <w:rPr>
          <w:rFonts w:asciiTheme="minorEastAsia" w:hAnsiTheme="minorEastAsia" w:cstheme="minorEastAsia"/>
          <w:b/>
          <w:bCs/>
          <w:sz w:val="24"/>
          <w:szCs w:val="24"/>
        </w:rPr>
        <w:outlineLvl w:val="2"/>
      </w:pPr>
      <w:r/>
      <w:bookmarkStart w:id="60" w:name="_Toc172053692"/>
      <w:r>
        <w:rPr>
          <w:rFonts w:hint="eastAsia" w:asciiTheme="minorEastAsia" w:hAnsiTheme="minorEastAsia" w:cstheme="minorEastAsia"/>
          <w:b/>
          <w:bCs/>
          <w:sz w:val="24"/>
          <w:szCs w:val="24"/>
        </w:rPr>
        <w:t xml:space="preserve">4.5.2护理部管理信息系统</w:t>
      </w:r>
      <w:bookmarkEnd w:id="60"/>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1、护士长手册管理</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护士长手册管理模拟医院纸质护士长手册，由护理部创建发放给各个病区。各护士长记录内容后提交、上传护理部，护理部可以对护士长手册的书写进行查阅反馈，并可以对往年的护士长手册进行归档操作。</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护士长手册管理内容包含：工作计划、护理质控汇总、护理安全汇总、三基考试、晨间提问、业务学习、护理查房、科研论文、工休座谈等功能。</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具备主管查询管理功能，实现护理部主任查阅护士长手册书的上报内容之后，对护士长护理业务管理情况进行评审，并对护士长的工作质量书写相关评语反馈给护士长。</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2、护理质控管理</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通过护理质控检查人员对相应的检查项目进行检查项目扣分，同时定位责任护士、整改措施等信息实现关联记录，并具备质控项目跟踪反馈。护理质控管理涉及三个角色：护士长、科护士长、护理部。分别对应区内自查、科内抽查、院内抽查。</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系统可维护符合医院护理质</w:t>
      </w:r>
      <w:r>
        <w:rPr>
          <w:rFonts w:hint="eastAsia" w:asciiTheme="minorEastAsia" w:hAnsiTheme="minorEastAsia" w:cstheme="minorEastAsia"/>
          <w:sz w:val="24"/>
          <w:szCs w:val="24"/>
        </w:rPr>
        <w:t xml:space="preserve">控检查</w:t>
      </w:r>
      <w:r>
        <w:rPr>
          <w:rFonts w:hint="eastAsia" w:asciiTheme="minorEastAsia" w:hAnsiTheme="minorEastAsia" w:cstheme="minorEastAsia"/>
          <w:sz w:val="24"/>
          <w:szCs w:val="24"/>
        </w:rPr>
        <w:t xml:space="preserve">标准评分基础数据库，并能够记录护理质量检查评分情况。检查内容包括：病房管理质量检查、消毒隔离质量检查、整体护理质量检查、爱婴</w:t>
      </w:r>
      <w:r>
        <w:rPr>
          <w:rFonts w:hint="eastAsia" w:asciiTheme="minorEastAsia" w:hAnsiTheme="minorEastAsia" w:cstheme="minorEastAsia"/>
          <w:sz w:val="24"/>
          <w:szCs w:val="24"/>
        </w:rPr>
        <w:t xml:space="preserve">组质量</w:t>
      </w:r>
      <w:r>
        <w:rPr>
          <w:rFonts w:hint="eastAsia" w:asciiTheme="minorEastAsia" w:hAnsiTheme="minorEastAsia" w:cstheme="minorEastAsia"/>
          <w:sz w:val="24"/>
          <w:szCs w:val="24"/>
        </w:rPr>
        <w:t xml:space="preserve">检查、术前护理质量检查、手术核对交接质量检查、</w:t>
      </w:r>
      <w:r>
        <w:rPr>
          <w:rFonts w:hint="eastAsia" w:asciiTheme="minorEastAsia" w:hAnsiTheme="minorEastAsia" w:cstheme="minorEastAsia"/>
          <w:sz w:val="24"/>
          <w:szCs w:val="24"/>
        </w:rPr>
        <w:t xml:space="preserve">回室护理</w:t>
      </w:r>
      <w:r>
        <w:rPr>
          <w:rFonts w:hint="eastAsia" w:asciiTheme="minorEastAsia" w:hAnsiTheme="minorEastAsia" w:cstheme="minorEastAsia"/>
          <w:sz w:val="24"/>
          <w:szCs w:val="24"/>
        </w:rPr>
        <w:t xml:space="preserve">质量检查、术后护理质量检查、满意</w:t>
      </w:r>
      <w:r>
        <w:rPr>
          <w:rFonts w:hint="eastAsia" w:asciiTheme="minorEastAsia" w:hAnsiTheme="minorEastAsia" w:cstheme="minorEastAsia"/>
          <w:sz w:val="24"/>
          <w:szCs w:val="24"/>
        </w:rPr>
        <w:t xml:space="preserve">度质量</w:t>
      </w:r>
      <w:r>
        <w:rPr>
          <w:rFonts w:hint="eastAsia" w:asciiTheme="minorEastAsia" w:hAnsiTheme="minorEastAsia" w:cstheme="minorEastAsia"/>
          <w:sz w:val="24"/>
          <w:szCs w:val="24"/>
        </w:rPr>
        <w:t xml:space="preserve">检查、输血护理质量检查等项目,可根据医院实际情况自定义质</w:t>
      </w:r>
      <w:r>
        <w:rPr>
          <w:rFonts w:hint="eastAsia" w:asciiTheme="minorEastAsia" w:hAnsiTheme="minorEastAsia" w:cstheme="minorEastAsia"/>
          <w:sz w:val="24"/>
          <w:szCs w:val="24"/>
        </w:rPr>
        <w:t xml:space="preserve">控检查</w:t>
      </w:r>
      <w:r>
        <w:rPr>
          <w:rFonts w:hint="eastAsia" w:asciiTheme="minorEastAsia" w:hAnsiTheme="minorEastAsia" w:cstheme="minorEastAsia"/>
          <w:sz w:val="24"/>
          <w:szCs w:val="24"/>
        </w:rPr>
        <w:t xml:space="preserve">项目。</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同时护理管理系统借助平板电脑实现护理质</w:t>
      </w:r>
      <w:r>
        <w:rPr>
          <w:rFonts w:hint="eastAsia" w:asciiTheme="minorEastAsia" w:hAnsiTheme="minorEastAsia" w:cstheme="minorEastAsia"/>
          <w:sz w:val="24"/>
          <w:szCs w:val="24"/>
        </w:rPr>
        <w:t xml:space="preserve">控业务</w:t>
      </w:r>
      <w:r>
        <w:rPr>
          <w:rFonts w:hint="eastAsia" w:asciiTheme="minorEastAsia" w:hAnsiTheme="minorEastAsia" w:cstheme="minorEastAsia"/>
          <w:sz w:val="24"/>
          <w:szCs w:val="24"/>
        </w:rPr>
        <w:t xml:space="preserve">的移动化处理，提高质</w:t>
      </w:r>
      <w:r>
        <w:rPr>
          <w:rFonts w:hint="eastAsia" w:asciiTheme="minorEastAsia" w:hAnsiTheme="minorEastAsia" w:cstheme="minorEastAsia"/>
          <w:sz w:val="24"/>
          <w:szCs w:val="24"/>
        </w:rPr>
        <w:t xml:space="preserve">控检查</w:t>
      </w:r>
      <w:r>
        <w:rPr>
          <w:rFonts w:hint="eastAsia" w:asciiTheme="minorEastAsia" w:hAnsiTheme="minorEastAsia" w:cstheme="minorEastAsia"/>
          <w:sz w:val="24"/>
          <w:szCs w:val="24"/>
        </w:rPr>
        <w:t xml:space="preserve">效率。</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实现质量问题汇总。对质量自查与抽查等护理查房过程中发现的问题进行闭环管理。汇总查房过程中发现的问题，方便护理部对单项问题做多病区分析或者对某病区做重点问题分析。护理部、护士长可对病区护士按指定项目进行护理质量的评分。</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实现质</w:t>
      </w:r>
      <w:r>
        <w:rPr>
          <w:rFonts w:hint="eastAsia" w:asciiTheme="minorEastAsia" w:hAnsiTheme="minorEastAsia" w:cstheme="minorEastAsia"/>
          <w:sz w:val="24"/>
          <w:szCs w:val="24"/>
        </w:rPr>
        <w:t xml:space="preserve">控问题</w:t>
      </w:r>
      <w:r>
        <w:rPr>
          <w:rFonts w:hint="eastAsia" w:asciiTheme="minorEastAsia" w:hAnsiTheme="minorEastAsia" w:cstheme="minorEastAsia"/>
          <w:sz w:val="24"/>
          <w:szCs w:val="24"/>
        </w:rPr>
        <w:t xml:space="preserve">分析、各网络组得分统计。通过模型汇总分析，明确责任护士护理的主要质量影响因子，为进一步提升护理质量提供帮助；同时提供汇总报表、饼状图及可以分析全院各个病区的护理质量。</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支持对质量检查中发现的某些特殊问题单独拿出来</w:t>
      </w:r>
      <w:r>
        <w:rPr>
          <w:rFonts w:hint="eastAsia" w:asciiTheme="minorEastAsia" w:hAnsiTheme="minorEastAsia" w:cstheme="minorEastAsia"/>
          <w:sz w:val="24"/>
          <w:szCs w:val="24"/>
        </w:rPr>
        <w:t xml:space="preserve">通知科</w:t>
      </w:r>
      <w:r>
        <w:rPr>
          <w:rFonts w:hint="eastAsia" w:asciiTheme="minorEastAsia" w:hAnsiTheme="minorEastAsia" w:cstheme="minorEastAsia"/>
          <w:sz w:val="24"/>
          <w:szCs w:val="24"/>
        </w:rPr>
        <w:t xml:space="preserve">护士长、护士长进行持续跟踪改进。</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3、护理安全管理</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能够通过对影响护理安全的不良事件、隐患事件等事件进行记录并根据事先制定的上报流程上报到相应的管理者，支持相关角色进行处理，记录处理状态。如压疮事件、隐患事件、事故、意外等事件，可形成汇总，进而反映一段时间内护理安全情况，并</w:t>
      </w:r>
      <w:r>
        <w:rPr>
          <w:rFonts w:hint="eastAsia" w:asciiTheme="minorEastAsia" w:hAnsiTheme="minorEastAsia" w:cstheme="minorEastAsia"/>
          <w:sz w:val="24"/>
          <w:szCs w:val="24"/>
        </w:rPr>
        <w:t xml:space="preserve">作出</w:t>
      </w:r>
      <w:r>
        <w:rPr>
          <w:rFonts w:hint="eastAsia" w:asciiTheme="minorEastAsia" w:hAnsiTheme="minorEastAsia" w:cstheme="minorEastAsia"/>
          <w:sz w:val="24"/>
          <w:szCs w:val="24"/>
        </w:rPr>
        <w:t xml:space="preserve">相应的应对措施。</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4、护理查房管理</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支持三级查房管理，能够实现护理工作领导对特殊的病人，组织护士进行护理查房会议。</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可记录护理查房的时间、主持人、主查人、查房内容及完成状态等信息。</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5、工作讨论管理</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实现记录护士长对护士护理过程中发生的不良事件及隐患事件来安排护士沟通的讨论情况。主要是对特定工作讨论内容的详细记录与查询，包括各发言人记录、讨论时间、病区等。并支持管理人员进行汇总统计。</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6、工作座谈管理</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实现对讨论病区的环境管理，健康教育内容，护士的服务质量，患者对医院护理的意见等进行记录与反馈，主要包括时间、主持人、参与人、主要内容、健康教育主题、意见处理、病人反馈等。并支持管理人员进行汇总统计。</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7、护理档案管理</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实现对护理人员的基本信息、学历学位、工作经历、职称与晋升、获奖信息、继续教育等信息进行审核、查询，实现了护士基本情况和业务技术档案信息无纸化管理。</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可以根据护理人员技术档案中录入的护士执照信息，展示出护士执照的到期情况，对执照已到期的人员进行提醒。</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护理管理者使用人员分布分析功能，可以随时掌握全部护理人员的信息及护士岗位分布情况，对护理队伍的层次结构、聘任方式、专业领域、男女比例等信息进行分析，为护理人员的管理提供依据。</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8、护理排班管理</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实现护士排班与责任制，不同护理层级享有不同权限与功能。实现多元化数据的统计分析功能。多人值班，可单独查询导出每一人的值班情况。支持护士长对病区护士按月进行排班，方便护士长对人员的管理。</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9、工作计划管理</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实现护理部、护士长角色制定工作计划。可以制定年度工作计划、季度工作计划、月工作计划、周工作计划。护理工作计划以甘特图的形式展现护理计划项目的实施进度、完成情况以及计划天数，并可实时维护护理工作完成进度，方便护理项目周期性管理。护理计划项目支持新增、修改、删除等功能。</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10、人员动态管理</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实现对病区护士考勤、护理人员的增减调入调出、进修情况等进行记录。针对护理人员调动情况处理，包括调动新增申请、待处理申请及审核等情况进行记录跟踪。</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11、三</w:t>
      </w:r>
      <w:r>
        <w:rPr>
          <w:rFonts w:hint="eastAsia" w:asciiTheme="minorEastAsia" w:hAnsiTheme="minorEastAsia" w:cstheme="minorEastAsia"/>
          <w:sz w:val="24"/>
          <w:szCs w:val="24"/>
        </w:rPr>
        <w:t xml:space="preserve">基考试</w:t>
      </w:r>
      <w:r>
        <w:rPr>
          <w:rFonts w:hint="eastAsia" w:asciiTheme="minorEastAsia" w:hAnsiTheme="minorEastAsia" w:cstheme="minorEastAsia"/>
          <w:sz w:val="24"/>
          <w:szCs w:val="24"/>
        </w:rPr>
        <w:t xml:space="preserve">管理</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实现对基础理论、基本知识、基本技能考核。功能具备安排考试人员、考试成绩录入、通知人员及所在科室和查询所有科室人员成绩情况等功能。支持各级管理人员对考试结果进行统计分析。</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12、晨间提问管理</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实现对晨间所提问的护理题目、回答人、答案评价等信息进行记录与汇总统计。</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13、业务学习管理</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实现对护理人员各种业务学习（如科内、院内等）详细情况的记录，包括学习内容的主讲人、主办单位、学时、学分种类及时间等。支持管理人员对结果进行统计查询。</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14、科研论文管理</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实现记录护理人员的科研项目及在发表刊物上的论文记录，包括发表日期、科研项目、论文题目、承担者/作者、项目级别及编号/发表刊物名称、以及项目经费等。</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15、护理制度管理</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对护理部制定医院护理人员制度规范文件进行管理，护理人员可以通过该功能进行下载、查看护理规章制度。同时系统还支持对制度文件的上传时间、上传人员、历史版本进行记录。</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16、护理敏感指标管理</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医院可根据实际需求预先设定敏感指标，例如：病房护患比、给药正确率、压疮发生率等。系统可结合相关数据进行指标结果的自动分析统计。做到由管理</w:t>
      </w:r>
      <w:r>
        <w:rPr>
          <w:rFonts w:hint="eastAsia" w:asciiTheme="minorEastAsia" w:hAnsiTheme="minorEastAsia" w:cstheme="minorEastAsia"/>
          <w:sz w:val="24"/>
          <w:szCs w:val="24"/>
        </w:rPr>
        <w:t xml:space="preserve">层主动</w:t>
      </w:r>
      <w:r>
        <w:rPr>
          <w:rFonts w:hint="eastAsia" w:asciiTheme="minorEastAsia" w:hAnsiTheme="minorEastAsia" w:cstheme="minorEastAsia"/>
          <w:sz w:val="24"/>
          <w:szCs w:val="24"/>
        </w:rPr>
        <w:t xml:space="preserve">发起的“事务管理”向由系统自动跟踪的“智能管理”转变。</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17、绩效考核管理</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实现记录护理质控管理、护理安全事件，以及日常不规范事件等方面情况来考核护士的工作绩效及工作成果。同时可借助移动护理系统及其他护理业务系统采集的数据将护理绩效考核量化，真正做到公平公正，多劳多得，以提高护士的积极性、护理质量。根据每个考核科室，制定相应的考核方案，用于统计护理人员的绩效考核得分。</w:t>
      </w:r>
      <w:r/>
    </w:p>
    <w:p>
      <w:pPr>
        <w:ind w:firstLine="420"/>
        <w:keepLines/>
        <w:keepNext/>
        <w:spacing w:line="400" w:lineRule="exact"/>
        <w:rPr>
          <w:rFonts w:asciiTheme="minorEastAsia" w:hAnsiTheme="minorEastAsia" w:cstheme="minorEastAsia"/>
          <w:b/>
          <w:bCs/>
          <w:sz w:val="24"/>
          <w:szCs w:val="24"/>
        </w:rPr>
        <w:outlineLvl w:val="2"/>
      </w:pPr>
      <w:r/>
      <w:bookmarkStart w:id="61" w:name="_Toc172053693"/>
      <w:r>
        <w:rPr>
          <w:rFonts w:hint="eastAsia" w:asciiTheme="minorEastAsia" w:hAnsiTheme="minorEastAsia" w:cstheme="minorEastAsia"/>
          <w:b/>
          <w:bCs/>
          <w:sz w:val="24"/>
          <w:szCs w:val="24"/>
        </w:rPr>
        <w:t xml:space="preserve">4.5.3护理记录系统</w:t>
      </w:r>
      <w:bookmarkEnd w:id="61"/>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1、病区主页</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病区主页显示本病区全部患者基本信息及病情等级。</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支持以下查询/过滤患者：用户可根据自己管辖组号过滤病人；可根据在院/出院/转科查询病人；可根据床号/姓名/住院号精准查询病人。</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2、生命体征记录</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体温单主要用于记录患者的生命体征及有关情况，内容包括患者姓名、年龄、性别、科别、床号、入院日期、住院号、日期、住院天数、脉搏、呼吸、体温、血压、出入量、</w:t>
      </w:r>
      <w:r>
        <w:rPr>
          <w:rFonts w:hint="eastAsia" w:asciiTheme="minorEastAsia" w:hAnsiTheme="minorEastAsia" w:cstheme="minorEastAsia"/>
          <w:sz w:val="24"/>
          <w:szCs w:val="24"/>
        </w:rPr>
        <w:t xml:space="preserve">体重、身高、页码等。支持系统预</w:t>
      </w:r>
      <w:r>
        <w:rPr>
          <w:rFonts w:hint="eastAsia" w:asciiTheme="minorEastAsia" w:hAnsiTheme="minorEastAsia" w:cstheme="minorEastAsia"/>
          <w:sz w:val="24"/>
          <w:szCs w:val="24"/>
        </w:rPr>
        <w:t xml:space="preserve">填部分</w:t>
      </w:r>
      <w:r>
        <w:rPr>
          <w:rFonts w:hint="eastAsia" w:asciiTheme="minorEastAsia" w:hAnsiTheme="minorEastAsia" w:cstheme="minorEastAsia"/>
          <w:sz w:val="24"/>
          <w:szCs w:val="24"/>
        </w:rPr>
        <w:t xml:space="preserve">内容：如医生处填写的病历内容，像诊断、主诉等；可自动获取入院</w:t>
      </w:r>
      <w:r>
        <w:rPr>
          <w:rFonts w:hint="eastAsia" w:asciiTheme="minorEastAsia" w:hAnsiTheme="minorEastAsia" w:cstheme="minorEastAsia"/>
          <w:sz w:val="24"/>
          <w:szCs w:val="24"/>
        </w:rPr>
        <w:t xml:space="preserve">处生命</w:t>
      </w:r>
      <w:r>
        <w:rPr>
          <w:rFonts w:hint="eastAsia" w:asciiTheme="minorEastAsia" w:hAnsiTheme="minorEastAsia" w:cstheme="minorEastAsia"/>
          <w:sz w:val="24"/>
          <w:szCs w:val="24"/>
        </w:rPr>
        <w:t xml:space="preserve">体征等。</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系统针对录入的体征信息，按国家</w:t>
      </w:r>
      <w:r>
        <w:rPr>
          <w:rFonts w:hint="eastAsia" w:asciiTheme="minorEastAsia" w:hAnsiTheme="minorEastAsia" w:cstheme="minorEastAsia"/>
          <w:sz w:val="24"/>
          <w:szCs w:val="24"/>
        </w:rPr>
        <w:t xml:space="preserve">卫健委规定</w:t>
      </w:r>
      <w:r>
        <w:rPr>
          <w:rFonts w:hint="eastAsia" w:asciiTheme="minorEastAsia" w:hAnsiTheme="minorEastAsia" w:cstheme="minorEastAsia"/>
          <w:sz w:val="24"/>
          <w:szCs w:val="24"/>
        </w:rPr>
        <w:t xml:space="preserve">的体温单格式输出，护士可以集中录入体征信息和临床事件。支持通过移动护理系统在PDA端录入病人的体征信息，同时在护士电脑上实时生成体温单。</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3、护理病历书写</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用于辅助护士完成护理病历、护理文书数据的输入。</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支持设计护理病历的结构和显示样式，在书写模块根据病人的病情填写数据，然后可根据预设结构组合成护理病历。支持结构化录入和模板调用等多种方式，提供多样化书写元素。</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在书写病历时，支持系统自动输入模板中的默认值，用户可直接修改。用户直接点击需要录入的元素，鼠标右击、鼠标双击或键盘回车均可调出当前元素的下拉内容。用户只需在下拉框中自己需要的内容即可；对于含有关联的内容，如过敏史，当用户选择有后系统可自动识别用户书写的内容，然后自动显示出对应的内容。</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对于书写完成的护理病历，支持对每条护理内容进行审阅签名。</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4、告知书</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系统支持护理人员对患者的入院、治疗、病情等进行相关告知。告知书样式和内容可进行配置，支持患者手写板签名。</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5、皮温单</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支持创伤外科将患者不同创伤部位皮温、皮色、毛细血管反应、皮温肿胀情况用折线图呈现出来，对创伤恢复情况进行数据可视化展示。</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支持每位患者进行不同创伤部位的配置。</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支持不同部位进行不同颜色和图标配置。</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6、批量录入</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批量体征录入模式下系统能够根据病人护理等级及医院相关规则自动提示在每个时间</w:t>
      </w:r>
      <w:r>
        <w:rPr>
          <w:rFonts w:hint="eastAsia" w:asciiTheme="minorEastAsia" w:hAnsiTheme="minorEastAsia" w:cstheme="minorEastAsia"/>
          <w:sz w:val="24"/>
          <w:szCs w:val="24"/>
        </w:rPr>
        <w:t xml:space="preserve">段应该</w:t>
      </w:r>
      <w:r>
        <w:rPr>
          <w:rFonts w:hint="eastAsia" w:asciiTheme="minorEastAsia" w:hAnsiTheme="minorEastAsia" w:cstheme="minorEastAsia"/>
          <w:sz w:val="24"/>
          <w:szCs w:val="24"/>
        </w:rPr>
        <w:t xml:space="preserve">给哪些病人进行体征的快捷录入，病区待测、漏测患者以及异常体征会有明显标识。</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文书整体录入：可支持一份文书多患者同时录入、相同患者多份文书录入。</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心电监护病人整体录入：根据医嘱</w:t>
      </w:r>
      <w:r>
        <w:rPr>
          <w:rFonts w:hint="eastAsia" w:asciiTheme="minorEastAsia" w:hAnsiTheme="minorEastAsia" w:cstheme="minorEastAsia"/>
          <w:sz w:val="24"/>
          <w:szCs w:val="24"/>
        </w:rPr>
        <w:t xml:space="preserve">筛选全病区</w:t>
      </w:r>
      <w:r>
        <w:rPr>
          <w:rFonts w:hint="eastAsia" w:asciiTheme="minorEastAsia" w:hAnsiTheme="minorEastAsia" w:cstheme="minorEastAsia"/>
          <w:sz w:val="24"/>
          <w:szCs w:val="24"/>
        </w:rPr>
        <w:t xml:space="preserve">心电监护患者，将心电监护仪数据导入到指定文书中。</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7、交接单转运</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支持在统一入口快捷处理病区的交接单，包括待处理、已处理交接单。满足不同类型交接单的交接书写工作：系统后台自由配置模板，自由定义书写权限，PDA与PC端联动交接，确保病人转运安全。</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支持转科交接、手术交接、血液净化转运交接、住院介入/内镜患者转运交接等交接流程。</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8、健康宣教</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支持记录护士对患者进行的所有健康宣教。可按照科室进行健康宣教内容定义。可以引入其他科室的健康宣教内容。</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9、护理计划</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支持定义护理计划，维护计划分类及护理诊断，自动加载对应内容。支持手动修改；系统还可根据危险评分等级和异常体征情况智能生成相应的护理计划。</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10、无纸化归档</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支持将电子格式的护理文书转换成PDF格式，提交到病案室进行归档；护士长、护理部可实时查看病历归档情况，72小时病历提交情况，病历返修情况。</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支持出院、转科档案归档提交。</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支持归档提交后退回-审批-修改-再提交流程，同时支持归档补录功能；实现无纸化。</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11、护士交班报告</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护士交班报告病人新入、转入、转出、手术等信息可实时统计；班次、交班类型可根据医院个性化配置；并具备智能书写功能：</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交班详情根据患者诊疗活动自动生成，MEWS评分高、新入、手术病人数据自动书写。</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支持在护理记录单新增交班内容。</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新增/编辑单个患者交班记录，支持提取主诉。</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支持护理助手内容引用。</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对危重患者有符合要求的护理观察记录、护理操作情况等记录、护理交接班记录，并供全院共享。</w:t>
      </w:r>
      <w:r/>
    </w:p>
    <w:p>
      <w:pPr>
        <w:ind w:firstLine="420"/>
        <w:keepLines/>
        <w:keepNext/>
        <w:spacing w:line="400" w:lineRule="exact"/>
        <w:rPr>
          <w:rFonts w:asciiTheme="minorEastAsia" w:hAnsiTheme="minorEastAsia" w:cstheme="minorEastAsia"/>
          <w:b/>
          <w:bCs/>
          <w:sz w:val="24"/>
          <w:szCs w:val="24"/>
        </w:rPr>
        <w:outlineLvl w:val="2"/>
      </w:pPr>
      <w:r/>
      <w:bookmarkStart w:id="62" w:name="_Toc172053694"/>
      <w:r>
        <w:rPr>
          <w:rFonts w:hint="eastAsia" w:asciiTheme="minorEastAsia" w:hAnsiTheme="minorEastAsia" w:cstheme="minorEastAsia"/>
          <w:b/>
          <w:bCs/>
          <w:sz w:val="24"/>
          <w:szCs w:val="24"/>
        </w:rPr>
        <w:t xml:space="preserve">4.5.4护理评估系统</w:t>
      </w:r>
      <w:bookmarkEnd w:id="62"/>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1、日常评估录入</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支持对临床护理不良事件发生风险进行及时有效的评估，提供临床专项护理评估功能。</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有可定义的入科处理模板，可提示处理流程。</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每类评估提供相应的护理措施记录。</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支持对评估信息的统计查询功能。</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支持在系统适当位置实时提醒风险评估状态及结果信息。</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专项护理评估表格支持打印功能。</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2、早期预警评分机制</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系统根据评估单中患者的体征数据（体温、心率、收缩压、呼吸、意识）系统自动计算早期预警评分，包括MEWS和PEWS。</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支持根据评分情况提供对应的护理措施，并同步至护理记录单，患者病情实时同步</w:t>
      </w:r>
      <w:r>
        <w:rPr>
          <w:rFonts w:hint="eastAsia" w:asciiTheme="minorEastAsia" w:hAnsiTheme="minorEastAsia" w:cstheme="minorEastAsia"/>
          <w:sz w:val="24"/>
          <w:szCs w:val="24"/>
        </w:rPr>
        <w:t xml:space="preserve">至医生端</w:t>
      </w:r>
      <w:r>
        <w:rPr>
          <w:rFonts w:hint="eastAsia" w:asciiTheme="minorEastAsia" w:hAnsiTheme="minorEastAsia" w:cstheme="minorEastAsia"/>
          <w:sz w:val="24"/>
          <w:szCs w:val="24"/>
        </w:rPr>
        <w:t xml:space="preserve">。</w:t>
      </w:r>
      <w:r/>
    </w:p>
    <w:p>
      <w:pPr>
        <w:ind w:firstLine="420"/>
        <w:keepLines/>
        <w:keepNext/>
        <w:spacing w:line="400" w:lineRule="exact"/>
        <w:rPr>
          <w:rFonts w:asciiTheme="minorEastAsia" w:hAnsiTheme="minorEastAsia" w:cstheme="minorEastAsia"/>
          <w:b/>
          <w:bCs/>
          <w:sz w:val="24"/>
          <w:szCs w:val="24"/>
        </w:rPr>
        <w:outlineLvl w:val="2"/>
      </w:pPr>
      <w:r/>
      <w:bookmarkStart w:id="63" w:name="_Toc172053696"/>
      <w:r>
        <w:rPr>
          <w:rFonts w:hint="eastAsia" w:asciiTheme="minorEastAsia" w:hAnsiTheme="minorEastAsia" w:cstheme="minorEastAsia"/>
          <w:b/>
          <w:bCs/>
          <w:sz w:val="24"/>
          <w:szCs w:val="24"/>
        </w:rPr>
        <w:t xml:space="preserve">4.5.5移动护理系统</w:t>
      </w:r>
      <w:bookmarkEnd w:id="63"/>
      <w:r/>
      <w:r/>
    </w:p>
    <w:p>
      <w:pPr>
        <w:ind w:right="105"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1、患者条码识别</w:t>
      </w:r>
      <w:r/>
    </w:p>
    <w:p>
      <w:pPr>
        <w:ind w:right="105"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支持识别带有患者身份唯一识别号的一维、二维条码或RFID腕带等。在执行各项医疗操作之前，都需要使用移动设备扫描腕带条码或感应RFID，确认所做操作和患者的匹配关系之后进行。</w:t>
      </w:r>
      <w:r/>
    </w:p>
    <w:p>
      <w:pPr>
        <w:ind w:right="105"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支持对已绑定的腕带进行解绑。</w:t>
      </w:r>
      <w:r/>
    </w:p>
    <w:p>
      <w:pPr>
        <w:ind w:right="105"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2、患者信息查询</w:t>
      </w:r>
      <w:r/>
    </w:p>
    <w:p>
      <w:pPr>
        <w:ind w:right="105"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患者信息查询：包括患者姓名、年龄、床号、护理级别、主治医生、入驻科室，支持查询病人的费用以及费用明细信息。</w:t>
      </w:r>
      <w:r/>
    </w:p>
    <w:p>
      <w:pPr>
        <w:ind w:right="105"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病区的患者信息支持以列表形式及视图模式展现，支持病区切换功能。</w:t>
      </w:r>
      <w:r/>
    </w:p>
    <w:p>
      <w:pPr>
        <w:ind w:right="105"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支持护理级别信息过滤，筛选不同护理级别的患者列表信息。</w:t>
      </w:r>
      <w:r/>
    </w:p>
    <w:p>
      <w:pPr>
        <w:ind w:right="105"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3、医嘱核对执行</w:t>
      </w:r>
      <w:r/>
    </w:p>
    <w:p>
      <w:pPr>
        <w:ind w:right="105"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支持与医院HIS系统对接，自动、实时提取医嘱，包括新开医嘱、临时医嘱，区分长期医嘱、未执行医嘱。</w:t>
      </w:r>
      <w:r/>
    </w:p>
    <w:p>
      <w:pPr>
        <w:ind w:right="105"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新开医嘱及特殊医嘱信息支持提醒功能，以便保证定时、及时执行。</w:t>
      </w:r>
      <w:r/>
    </w:p>
    <w:p>
      <w:pPr>
        <w:ind w:right="105"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支持根据医嘱频次，自动拆分医嘱，自动生成执行时间和执行者姓名，完成医嘱的提取和转抄。</w:t>
      </w:r>
      <w:r/>
    </w:p>
    <w:p>
      <w:pPr>
        <w:ind w:right="105"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支持基于无线网络、条码识别技术或RFID感应技术，支持核对患者的身份、药品等信息，确保信息与医嘱相符，包括在正确的时间对正确的患者执行正确治疗。</w:t>
      </w:r>
      <w:r/>
    </w:p>
    <w:p>
      <w:pPr>
        <w:ind w:right="105"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支持通过移动设备扫描、确认医嘱操作（包括输液、注射、口服、诊疗等类型医嘱），核对操作关系，实时记录执行者和执行时间等信息。</w:t>
      </w:r>
      <w:r/>
    </w:p>
    <w:p>
      <w:pPr>
        <w:ind w:right="105"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支持输液巡视，扫描病人腕带或者按床位</w:t>
      </w:r>
      <w:r>
        <w:rPr>
          <w:rFonts w:hint="eastAsia" w:asciiTheme="minorEastAsia" w:hAnsiTheme="minorEastAsia" w:cstheme="minorEastAsia"/>
          <w:sz w:val="24"/>
          <w:szCs w:val="24"/>
        </w:rPr>
        <w:t xml:space="preserve">号选择</w:t>
      </w:r>
      <w:r>
        <w:rPr>
          <w:rFonts w:hint="eastAsia" w:asciiTheme="minorEastAsia" w:hAnsiTheme="minorEastAsia" w:cstheme="minorEastAsia"/>
          <w:sz w:val="24"/>
          <w:szCs w:val="24"/>
        </w:rPr>
        <w:t xml:space="preserve">病人，统计记录输液情况、记录滴速、不良反应等信息，方便后期治疗参考。</w:t>
      </w:r>
      <w:r/>
    </w:p>
    <w:p>
      <w:pPr>
        <w:ind w:right="105"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医嘱信息可按照时间上已执行、未执行分类查询，同时可按照医嘱种类（如口服、输液、注射用药等）来进行分类查询。</w:t>
      </w:r>
      <w:r/>
    </w:p>
    <w:p>
      <w:pPr>
        <w:ind w:right="105"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支持医嘱执行过程</w:t>
      </w:r>
      <w:r>
        <w:rPr>
          <w:rFonts w:hint="eastAsia" w:asciiTheme="minorEastAsia" w:hAnsiTheme="minorEastAsia" w:cstheme="minorEastAsia"/>
          <w:sz w:val="24"/>
          <w:szCs w:val="24"/>
        </w:rPr>
        <w:t xml:space="preserve">中多瓶输液</w:t>
      </w:r>
      <w:r>
        <w:rPr>
          <w:rFonts w:hint="eastAsia" w:asciiTheme="minorEastAsia" w:hAnsiTheme="minorEastAsia" w:cstheme="minorEastAsia"/>
          <w:sz w:val="24"/>
          <w:szCs w:val="24"/>
        </w:rPr>
        <w:t xml:space="preserve">模式。</w:t>
      </w:r>
      <w:r/>
    </w:p>
    <w:p>
      <w:pPr>
        <w:ind w:right="105"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实现输血医嘱查询、执行功能及可以按时间、执行状态进行过滤。同时支持</w:t>
      </w:r>
      <w:r>
        <w:rPr>
          <w:rFonts w:hint="eastAsia" w:asciiTheme="minorEastAsia" w:hAnsiTheme="minorEastAsia" w:cstheme="minorEastAsia"/>
          <w:sz w:val="24"/>
          <w:szCs w:val="24"/>
        </w:rPr>
        <w:t xml:space="preserve">用户双</w:t>
      </w:r>
      <w:r>
        <w:rPr>
          <w:rFonts w:hint="eastAsia" w:asciiTheme="minorEastAsia" w:hAnsiTheme="minorEastAsia" w:cstheme="minorEastAsia"/>
          <w:sz w:val="24"/>
          <w:szCs w:val="24"/>
        </w:rPr>
        <w:t xml:space="preserve">签核对验证，如执行人、核对人信息输入认证。</w:t>
      </w:r>
      <w:r/>
    </w:p>
    <w:p>
      <w:pPr>
        <w:ind w:right="105"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4、检验标本采集与查询</w:t>
      </w:r>
      <w:r/>
    </w:p>
    <w:p>
      <w:pPr>
        <w:ind w:right="105"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系统通过扫描患者腕带和检验试管条码，确认患者信息和所需检验信息，执行标本发放、标本采集、标本撤销采集功能，同时记录标本采集时间。</w:t>
      </w:r>
      <w:r/>
    </w:p>
    <w:p>
      <w:pPr>
        <w:ind w:right="105"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系统支持扫描病人腕带实现切换，动态改变病人标本采集项。</w:t>
      </w:r>
      <w:r/>
    </w:p>
    <w:p>
      <w:pPr>
        <w:ind w:right="105"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系统支持多人标本批量采集模式，通过扫描试管条码，执行标本发放、采集、撤销采集功能。</w:t>
      </w:r>
      <w:r/>
    </w:p>
    <w:p>
      <w:pPr>
        <w:ind w:right="105"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支持过滤查看患者检验项目的标本采集、执行状态、检验结果等。</w:t>
      </w:r>
      <w:r/>
    </w:p>
    <w:p>
      <w:pPr>
        <w:ind w:right="105"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支持检验项目及项目明细信息的查询，可查阅患者检验结果信息，异常值红色显示，便于筛选。</w:t>
      </w:r>
      <w:r/>
    </w:p>
    <w:p>
      <w:pPr>
        <w:ind w:right="105"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实现患者在院期间检查结果及相关诊断信息查询。</w:t>
      </w:r>
      <w:r/>
    </w:p>
    <w:p>
      <w:pPr>
        <w:ind w:right="105"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5、护理文书床边录入</w:t>
      </w:r>
      <w:r/>
    </w:p>
    <w:p>
      <w:pPr>
        <w:ind w:right="105"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支持护理文书信息表单（护理评估单、护理记录单、风险评估单、护理焦点、护理计划等）的床旁录入。</w:t>
      </w:r>
      <w:r/>
    </w:p>
    <w:p>
      <w:pPr>
        <w:ind w:right="105"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支持护士对评估单进行签名功能；支持对已签名的整张评估单进行审阅；支持扫描切换病人，动态改动护理单元。</w:t>
      </w:r>
      <w:r/>
    </w:p>
    <w:p>
      <w:pPr>
        <w:ind w:right="105"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提供生命体征、过敏药物、手术记录引用，支持模板调用、模板保存、术语录入、书写完成签名确认。</w:t>
      </w:r>
      <w:r/>
    </w:p>
    <w:p>
      <w:pPr>
        <w:ind w:right="105"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提供护理计划的制定和跟踪服务，完成整个护理计划的执行过程。</w:t>
      </w:r>
      <w:r/>
    </w:p>
    <w:p>
      <w:pPr>
        <w:ind w:right="105"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支持通过护理焦点的记录方式完成护理记录单的书写，让护士了解每个护理焦点当前的状态。</w:t>
      </w:r>
      <w:r/>
    </w:p>
    <w:p>
      <w:pPr>
        <w:ind w:right="105"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支持自定义终端界面、报表、参数，不同科室可定义不同的护理文书模板。</w:t>
      </w:r>
      <w:r/>
    </w:p>
    <w:p>
      <w:pPr>
        <w:ind w:right="105"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支持数据同步，PDA上录入的相关数据支持自动生成相应护理病历。</w:t>
      </w:r>
      <w:r/>
    </w:p>
    <w:p>
      <w:pPr>
        <w:ind w:right="105"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6、健康宣教记录统计</w:t>
      </w:r>
      <w:r/>
    </w:p>
    <w:p>
      <w:pPr>
        <w:ind w:right="105"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支持患者个性化健康宣教管理：包括入院宣教、疾病指导、药物指导、检查指导、术前宣教、术后宣教、出院及康复指导等。</w:t>
      </w:r>
      <w:r/>
    </w:p>
    <w:p>
      <w:pPr>
        <w:ind w:right="105"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针对患者、患者家属等对象，支持实时记录执行健康教育宣教时间及相关宣教的内容，可按时间查询宣教工作，并统计护士宣教工作量。</w:t>
      </w:r>
      <w:r/>
    </w:p>
    <w:p>
      <w:pPr>
        <w:ind w:right="105"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提供健康教育知识库。</w:t>
      </w:r>
      <w:r/>
    </w:p>
    <w:p>
      <w:pPr>
        <w:ind w:right="105"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7、生命体征录入与查询</w:t>
      </w:r>
      <w:r/>
    </w:p>
    <w:p>
      <w:pPr>
        <w:ind w:right="105"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支持在床旁通过PDA等移动设备录入患者体温、脉搏、呼吸、血压、血氧饱和度、体重、大便次数、出入量等生命体征，并根据科室需求在PDA上自动生成相应体征录入项目。</w:t>
      </w:r>
      <w:r/>
    </w:p>
    <w:p>
      <w:pPr>
        <w:ind w:right="105"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针对如体温过高等临床危险指标，支持实时的警示功能，并以醒目的颜色区别指示出来。</w:t>
      </w:r>
      <w:r/>
    </w:p>
    <w:p>
      <w:pPr>
        <w:ind w:right="105"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支持内容质控功能，针对护士输入的异常数据能够进行提示并拒绝保存。</w:t>
      </w:r>
      <w:r/>
    </w:p>
    <w:p>
      <w:pPr>
        <w:ind w:right="105"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支持体征数据多人批量录入；支持自动累加出入量，24小时结果自动记录。</w:t>
      </w:r>
      <w:r/>
    </w:p>
    <w:p>
      <w:pPr>
        <w:ind w:right="105"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支持与生命体征采集仪器集成，进行数据自动提取。</w:t>
      </w:r>
      <w:r/>
    </w:p>
    <w:p>
      <w:pPr>
        <w:ind w:right="105"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支持根据患者的护理等级、危重状态、发烧及手术等具体情况，并结合医院的体征规则，系统自动动态计算患者需要测量体征的时间点。</w:t>
      </w:r>
      <w:r/>
    </w:p>
    <w:p>
      <w:pPr>
        <w:ind w:right="105"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支持根据科室的规定对体征测量规则进行自定义配置。</w:t>
      </w:r>
      <w:r/>
    </w:p>
    <w:p>
      <w:pPr>
        <w:ind w:right="105"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支持体征查询，可以根据时间段和体征名称，如体温、脉搏、呼吸、血压等内容模块来进行过滤查询。</w:t>
      </w:r>
      <w:r/>
    </w:p>
    <w:p>
      <w:pPr>
        <w:ind w:right="105"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8、护理常规项目记录</w:t>
      </w:r>
      <w:r/>
    </w:p>
    <w:p>
      <w:pPr>
        <w:ind w:right="105"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支持对护理常规项目（如日常护理、病房护理、入院护理、专科护理等）进行执行情况记录，如执行时间、执行项目、执行人等信息。</w:t>
      </w:r>
      <w:r/>
    </w:p>
    <w:p>
      <w:pPr>
        <w:ind w:right="105"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提供护理常规项目知识库。</w:t>
      </w:r>
      <w:r/>
    </w:p>
    <w:p>
      <w:pPr>
        <w:ind w:right="105"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9、日常巡视</w:t>
      </w:r>
      <w:r/>
    </w:p>
    <w:p>
      <w:pPr>
        <w:ind w:right="105"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能够根据患者护理级别不同，实现定期护理巡视工作。支持护士在日常巡视工作中进行批量患者操作记录，如患者病情等信息的记录及查询功能。</w:t>
      </w:r>
      <w:r/>
    </w:p>
    <w:p>
      <w:pPr>
        <w:ind w:right="105"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10、外出管理</w:t>
      </w:r>
      <w:r/>
    </w:p>
    <w:p>
      <w:pPr>
        <w:ind w:right="105"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支持对患者的外出、回</w:t>
      </w:r>
      <w:r>
        <w:rPr>
          <w:rFonts w:hint="eastAsia" w:asciiTheme="minorEastAsia" w:hAnsiTheme="minorEastAsia" w:cstheme="minorEastAsia"/>
          <w:sz w:val="24"/>
          <w:szCs w:val="24"/>
        </w:rPr>
        <w:t xml:space="preserve">床情况</w:t>
      </w:r>
      <w:r>
        <w:rPr>
          <w:rFonts w:hint="eastAsia" w:asciiTheme="minorEastAsia" w:hAnsiTheme="minorEastAsia" w:cstheme="minorEastAsia"/>
          <w:sz w:val="24"/>
          <w:szCs w:val="24"/>
        </w:rPr>
        <w:t xml:space="preserve">进行管理，可以记录外出陪同人员、回</w:t>
      </w:r>
      <w:r>
        <w:rPr>
          <w:rFonts w:hint="eastAsia" w:asciiTheme="minorEastAsia" w:hAnsiTheme="minorEastAsia" w:cstheme="minorEastAsia"/>
          <w:sz w:val="24"/>
          <w:szCs w:val="24"/>
        </w:rPr>
        <w:t xml:space="preserve">床时间</w:t>
      </w:r>
      <w:r>
        <w:rPr>
          <w:rFonts w:hint="eastAsia" w:asciiTheme="minorEastAsia" w:hAnsiTheme="minorEastAsia" w:cstheme="minorEastAsia"/>
          <w:sz w:val="24"/>
          <w:szCs w:val="24"/>
        </w:rPr>
        <w:t xml:space="preserve">等内容记录，并支持对患者的外出情况进行查询。</w:t>
      </w:r>
      <w:r/>
    </w:p>
    <w:p>
      <w:pPr>
        <w:ind w:right="105"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11、工作提醒</w:t>
      </w:r>
      <w:r/>
    </w:p>
    <w:p>
      <w:pPr>
        <w:ind w:right="105"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支持对护理人员当天未完成的护理工作任务进行提示，主要以提醒工作遗漏或者医嘱变化为主，同时兼顾危机值提醒。</w:t>
      </w:r>
      <w:r/>
    </w:p>
    <w:p>
      <w:pPr>
        <w:ind w:right="105"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12、加药核对</w:t>
      </w:r>
      <w:r/>
    </w:p>
    <w:p>
      <w:pPr>
        <w:ind w:right="105"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支持病区护士对于日常的加药、摆药进行管理，可以记录摆药和加药的护士信息和执行时间，方便统计护士的工作量，完善医嘱的闭环管理。</w:t>
      </w:r>
      <w:r/>
    </w:p>
    <w:p>
      <w:pPr>
        <w:ind w:right="105"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13、离线保存</w:t>
      </w:r>
      <w:r/>
    </w:p>
    <w:p>
      <w:pPr>
        <w:ind w:right="105"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支持在网络环境不良的情况下，进行护理文书信息的离线填写记录，并上传到服务器，降低网络依赖，减少护士重复操作的工作量。</w:t>
      </w:r>
      <w:r/>
    </w:p>
    <w:p>
      <w:pPr>
        <w:ind w:right="105"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14、数据共享</w:t>
      </w:r>
      <w:r/>
    </w:p>
    <w:p>
      <w:pPr>
        <w:ind w:right="105"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支持各个文书间的数据引用，保证文书之间的数据正确，减少护士重复录入情况。</w:t>
      </w:r>
      <w:r/>
    </w:p>
    <w:p>
      <w:pPr>
        <w:ind w:right="105"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15、统计分析</w:t>
      </w:r>
      <w:r/>
    </w:p>
    <w:p>
      <w:pPr>
        <w:ind w:right="105"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根据执行患者的数量来判断护士的工作量，支持通过病人和药物的匹配率来分析和记录医疗差错，支持通过实际护士扫描次数与数据库中核定数量药物的标准扫描次数进行比对，以此考核护士的工作能力和工作质量等。</w:t>
      </w:r>
      <w:r/>
    </w:p>
    <w:p>
      <w:pPr>
        <w:ind w:right="105"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支持设定的条件查询相应病人的输液执行信息，包括执行状态、执行时间、执行人，并可查询每天输液单的输液巡视记录和暂停记录信息。</w:t>
      </w:r>
      <w:r/>
    </w:p>
    <w:p>
      <w:pPr>
        <w:ind w:right="105"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支持医嘱闭环数据查询。能够根据设定的条件，以护士或病区为对象统计相应医嘱的实际执行时间与计划时间之间的误差。</w:t>
      </w:r>
      <w:r/>
    </w:p>
    <w:p>
      <w:pPr>
        <w:ind w:right="105"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支持根据需求定制数据的分析、查询、对比方式(比如可按操作人、日期、月、年等方式进行统计)，统计表可生成图、表等模式，提供文件打印预览及打印功能。</w:t>
      </w:r>
      <w:r/>
    </w:p>
    <w:p>
      <w:pPr>
        <w:ind w:right="105"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支持对各类统计模板的新增、编辑、删除。</w:t>
      </w:r>
      <w:r/>
    </w:p>
    <w:p>
      <w:pPr>
        <w:ind w:right="105"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支持对临床获取的基础数据进行对比分析，并根据临床要求形成报表。</w:t>
      </w:r>
      <w:r/>
    </w:p>
    <w:p>
      <w:pPr>
        <w:numPr>
          <w:ilvl w:val="1"/>
          <w:numId w:val="0"/>
        </w:numPr>
        <w:ind w:firstLine="420"/>
        <w:jc w:val="left"/>
        <w:keepLines/>
        <w:keepNext/>
        <w:spacing w:line="400" w:lineRule="exact"/>
        <w:widowControl/>
        <w:rPr>
          <w:rFonts w:asciiTheme="minorEastAsia" w:hAnsiTheme="minorEastAsia" w:cstheme="minorEastAsia"/>
          <w:b/>
          <w:bCs/>
          <w:sz w:val="24"/>
          <w:szCs w:val="24"/>
        </w:rPr>
        <w:outlineLvl w:val="1"/>
      </w:pPr>
      <w:r/>
      <w:bookmarkStart w:id="64" w:name="_Toc172053697"/>
      <w:r>
        <w:rPr>
          <w:rFonts w:hint="eastAsia" w:asciiTheme="minorEastAsia" w:hAnsiTheme="minorEastAsia" w:cstheme="minorEastAsia"/>
          <w:b/>
          <w:bCs/>
          <w:sz w:val="24"/>
          <w:szCs w:val="24"/>
        </w:rPr>
        <w:t xml:space="preserve">4.6其他系统</w:t>
      </w:r>
      <w:bookmarkEnd w:id="64"/>
      <w:r/>
      <w:r/>
    </w:p>
    <w:p>
      <w:pPr>
        <w:numPr>
          <w:ilvl w:val="2"/>
          <w:numId w:val="0"/>
        </w:numPr>
        <w:ind w:firstLine="420"/>
        <w:jc w:val="left"/>
        <w:keepLines/>
        <w:keepNext/>
        <w:spacing w:line="400" w:lineRule="exact"/>
        <w:widowControl/>
        <w:rPr>
          <w:rFonts w:asciiTheme="minorEastAsia" w:hAnsiTheme="minorEastAsia" w:cstheme="minorEastAsia"/>
          <w:b/>
          <w:bCs/>
          <w:sz w:val="24"/>
          <w:szCs w:val="24"/>
        </w:rPr>
        <w:outlineLvl w:val="2"/>
      </w:pPr>
      <w:r/>
      <w:bookmarkStart w:id="65" w:name="_Toc172053698"/>
      <w:r>
        <w:rPr>
          <w:rFonts w:hint="eastAsia" w:asciiTheme="minorEastAsia" w:hAnsiTheme="minorEastAsia" w:cstheme="minorEastAsia"/>
          <w:b/>
          <w:bCs/>
          <w:sz w:val="24"/>
          <w:szCs w:val="24"/>
        </w:rPr>
        <w:t xml:space="preserve">4.6.1综合查询系统</w:t>
      </w:r>
      <w:bookmarkEnd w:id="65"/>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1、院长日报</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支持按列表展示当天医院运营情况，如：门诊人数、急诊人数、门急诊总人数、出诊医生总人数、医生平均门急诊量、处方数量、处方金额、最大处方、最小处方、平均处方</w:t>
      </w:r>
      <w:r>
        <w:rPr>
          <w:rFonts w:hint="eastAsia" w:asciiTheme="minorEastAsia" w:hAnsiTheme="minorEastAsia" w:cstheme="minorEastAsia"/>
          <w:sz w:val="24"/>
          <w:szCs w:val="24"/>
        </w:rPr>
        <w:t xml:space="preserve">金额、医生平均处方数量、入院人数、出院人数、在院人数、危重人数、额定床位、使用床位、使用率、死亡人数、医疗收入、药品收入、其它收入、合计收入、今日手术安排数量、今日手术实际数量、明日手术安排数量等相关数据。</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支持相关主题的跳转，对数据的钻取，查看门诊负荷的详情。</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支持多种展现形式，如PC</w:t>
      </w:r>
      <w:r>
        <w:rPr>
          <w:rFonts w:hint="eastAsia" w:asciiTheme="minorEastAsia" w:hAnsiTheme="minorEastAsia" w:cstheme="minorEastAsia"/>
          <w:sz w:val="24"/>
          <w:szCs w:val="24"/>
        </w:rPr>
        <w:t xml:space="preserve">端以及</w:t>
      </w:r>
      <w:r>
        <w:rPr>
          <w:rFonts w:hint="eastAsia" w:asciiTheme="minorEastAsia" w:hAnsiTheme="minorEastAsia" w:cstheme="minorEastAsia"/>
          <w:sz w:val="24"/>
          <w:szCs w:val="24"/>
        </w:rPr>
        <w:t xml:space="preserve">接入的Android屏</w:t>
      </w:r>
      <w:r>
        <w:rPr>
          <w:rFonts w:hint="eastAsia" w:asciiTheme="minorEastAsia" w:hAnsiTheme="minorEastAsia" w:cstheme="minorEastAsia"/>
          <w:sz w:val="24"/>
          <w:szCs w:val="24"/>
        </w:rPr>
        <w:t xml:space="preserve">或微信小</w:t>
      </w:r>
      <w:r>
        <w:rPr>
          <w:rFonts w:hint="eastAsia" w:asciiTheme="minorEastAsia" w:hAnsiTheme="minorEastAsia" w:cstheme="minorEastAsia"/>
          <w:sz w:val="24"/>
          <w:szCs w:val="24"/>
        </w:rPr>
        <w:t xml:space="preserve">程序等。</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★需符合二级医院的查询，符合国家绩效考核的数据查询、其他相关的报表等。</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2、门诊业务</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提供门诊挂号分析，指标包括门诊挂号人次，维</w:t>
      </w:r>
      <w:r>
        <w:rPr>
          <w:rFonts w:hint="eastAsia" w:asciiTheme="minorEastAsia" w:hAnsiTheme="minorEastAsia" w:cstheme="minorEastAsia"/>
          <w:sz w:val="24"/>
          <w:szCs w:val="24"/>
        </w:rPr>
        <w:t xml:space="preserve">度包括</w:t>
      </w:r>
      <w:r>
        <w:rPr>
          <w:rFonts w:hint="eastAsia" w:asciiTheme="minorEastAsia" w:hAnsiTheme="minorEastAsia" w:cstheme="minorEastAsia"/>
          <w:sz w:val="24"/>
          <w:szCs w:val="24"/>
        </w:rPr>
        <w:t xml:space="preserve">挂号来源、挂号类别、显示的详细数据。</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支持多种方式统计，如：按门诊日期统计、按门诊科室统计、按门诊类别统计、按病人性质统计、按门诊疾病统计、按病人性别统计、按日期同期比较等多种形式。</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支持多种周期方式查询，如：按日期、月份、季度、年份查询。</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支持按列表和统计图展示。</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3、住院业务</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提供住院负荷统计，包括出院人次、住院手术例数、出院患者平均住院日、床位使用率等，维</w:t>
      </w:r>
      <w:r>
        <w:rPr>
          <w:rFonts w:hint="eastAsia" w:asciiTheme="minorEastAsia" w:hAnsiTheme="minorEastAsia" w:cstheme="minorEastAsia"/>
          <w:sz w:val="24"/>
          <w:szCs w:val="24"/>
        </w:rPr>
        <w:t xml:space="preserve">度包括</w:t>
      </w:r>
      <w:r>
        <w:rPr>
          <w:rFonts w:hint="eastAsia" w:asciiTheme="minorEastAsia" w:hAnsiTheme="minorEastAsia" w:cstheme="minorEastAsia"/>
          <w:sz w:val="24"/>
          <w:szCs w:val="24"/>
        </w:rPr>
        <w:t xml:space="preserve">时间维度、科室维度、手术级别。住院负荷表格中显示各个指标的详细数据，可以将数据精确到月，精确到日。</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提供住院费用分析，包括住院总费用、</w:t>
      </w:r>
      <w:r>
        <w:rPr>
          <w:rFonts w:hint="eastAsia" w:asciiTheme="minorEastAsia" w:hAnsiTheme="minorEastAsia" w:cstheme="minorEastAsia"/>
          <w:sz w:val="24"/>
          <w:szCs w:val="24"/>
        </w:rPr>
        <w:t xml:space="preserve">住院均次费用</w:t>
      </w:r>
      <w:r>
        <w:rPr>
          <w:rFonts w:hint="eastAsia" w:asciiTheme="minorEastAsia" w:hAnsiTheme="minorEastAsia" w:cstheme="minorEastAsia"/>
          <w:sz w:val="24"/>
          <w:szCs w:val="24"/>
        </w:rPr>
        <w:t xml:space="preserve">、</w:t>
      </w:r>
      <w:r>
        <w:rPr>
          <w:rFonts w:hint="eastAsia" w:asciiTheme="minorEastAsia" w:hAnsiTheme="minorEastAsia" w:cstheme="minorEastAsia"/>
          <w:sz w:val="24"/>
          <w:szCs w:val="24"/>
        </w:rPr>
        <w:t xml:space="preserve">住院均次药品</w:t>
      </w:r>
      <w:r>
        <w:rPr>
          <w:rFonts w:hint="eastAsia" w:asciiTheme="minorEastAsia" w:hAnsiTheme="minorEastAsia" w:cstheme="minorEastAsia"/>
          <w:sz w:val="24"/>
          <w:szCs w:val="24"/>
        </w:rPr>
        <w:t xml:space="preserve">费用、</w:t>
      </w:r>
      <w:r>
        <w:rPr>
          <w:rFonts w:hint="eastAsia" w:asciiTheme="minorEastAsia" w:hAnsiTheme="minorEastAsia" w:cstheme="minorEastAsia"/>
          <w:sz w:val="24"/>
          <w:szCs w:val="24"/>
        </w:rPr>
        <w:t xml:space="preserve">住院均次手术</w:t>
      </w:r>
      <w:r>
        <w:rPr>
          <w:rFonts w:hint="eastAsia" w:asciiTheme="minorEastAsia" w:hAnsiTheme="minorEastAsia" w:cstheme="minorEastAsia"/>
          <w:sz w:val="24"/>
          <w:szCs w:val="24"/>
        </w:rPr>
        <w:t xml:space="preserve">费用等指标。住院总费用可以占取到每个月的住院总费用，能够显示某个月的费用类别占比。</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4、医技业务</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支持按预约时间、预约人员、患者类型（门诊、住院）、预约队列、门诊住院号等多种组合条件查询医技预约信息。</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支持按日期统计各个队列每个小时内的医技科室预约情况。</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提供各个渠道的预约比例统计，便于预约资源的合理分配。</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提供医院医技科室的技师执行工作量统计，辅助医院考核决策。</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提供对各个医技科室的设备效益以及相关的产出费用统计分析。</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5、住院手术</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支持按病人科室、按手术医生、按手术明细统计，按病人科室或者手术医生统计时，需要将手术等级按特大、大、中、小分开统计。</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提供统计指定时间段内手术发生数量以及手术费用。</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提供对手术患者死亡率、手术患者重返手术室人数、手术期死亡人数等数据统计。</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提供包括手术室使用率、开展手术台次占医院总手术台次比、三四级</w:t>
      </w:r>
      <w:r>
        <w:rPr>
          <w:rFonts w:hint="eastAsia" w:asciiTheme="minorEastAsia" w:hAnsiTheme="minorEastAsia" w:cstheme="minorEastAsia"/>
          <w:sz w:val="24"/>
          <w:szCs w:val="24"/>
        </w:rPr>
        <w:t xml:space="preserve">手术占</w:t>
      </w:r>
      <w:r>
        <w:rPr>
          <w:rFonts w:hint="eastAsia" w:asciiTheme="minorEastAsia" w:hAnsiTheme="minorEastAsia" w:cstheme="minorEastAsia"/>
          <w:sz w:val="24"/>
          <w:szCs w:val="24"/>
        </w:rPr>
        <w:t xml:space="preserve">比、患者取消预订手术比例、手术当日停台率、入院前平均等待时间等。</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6、药品管理</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支持按药库药品类别收发</w:t>
      </w:r>
      <w:r>
        <w:rPr>
          <w:rFonts w:hint="eastAsia" w:asciiTheme="minorEastAsia" w:hAnsiTheme="minorEastAsia" w:cstheme="minorEastAsia"/>
          <w:sz w:val="24"/>
          <w:szCs w:val="24"/>
        </w:rPr>
        <w:t xml:space="preserve">存情况</w:t>
      </w:r>
      <w:r>
        <w:rPr>
          <w:rFonts w:hint="eastAsia" w:asciiTheme="minorEastAsia" w:hAnsiTheme="minorEastAsia" w:cstheme="minorEastAsia"/>
          <w:sz w:val="24"/>
          <w:szCs w:val="24"/>
        </w:rPr>
        <w:t xml:space="preserve">分类查询。</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支持按药品类别、进货金额、批发金额、零售金额、进销差价、扣率进行统计。</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支持按类别或单个药品进行药品差价分析。</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支持对不同药库、药房的药品库存、消耗情况分开统计或者全部汇总统计。</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支持按批发价、按零售价统计。</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支持对医院内特殊药品使用情况进行统计分析，其中特殊药品含：精神、麻醉、贵重、毒药、放射类药品等。</w:t>
      </w:r>
      <w:r/>
    </w:p>
    <w:p>
      <w:pPr>
        <w:numPr>
          <w:ilvl w:val="2"/>
          <w:numId w:val="0"/>
        </w:numPr>
        <w:ind w:firstLine="420"/>
        <w:jc w:val="left"/>
        <w:keepLines/>
        <w:keepNext/>
        <w:spacing w:line="400" w:lineRule="exact"/>
        <w:widowControl/>
        <w:rPr>
          <w:rFonts w:asciiTheme="minorEastAsia" w:hAnsiTheme="minorEastAsia" w:cstheme="minorEastAsia"/>
          <w:b/>
          <w:bCs/>
          <w:sz w:val="24"/>
          <w:szCs w:val="24"/>
        </w:rPr>
        <w:outlineLvl w:val="2"/>
      </w:pPr>
      <w:r>
        <w:rPr>
          <w:rFonts w:hint="eastAsia" w:asciiTheme="minorEastAsia" w:hAnsiTheme="minorEastAsia" w:cstheme="minorEastAsia"/>
          <w:b/>
          <w:bCs/>
          <w:sz w:val="24"/>
          <w:szCs w:val="24"/>
        </w:rPr>
        <w:t xml:space="preserve">4.6.2科主任查询系统</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支持科主任及护士长等日常工作中数据查询，以及相应的各种报表。</w:t>
      </w:r>
      <w:r/>
    </w:p>
    <w:p>
      <w:pPr>
        <w:ind w:firstLine="420"/>
        <w:spacing w:line="400" w:lineRule="exact"/>
        <w:rPr>
          <w:rFonts w:asciiTheme="minorEastAsia" w:hAnsiTheme="minorEastAsia" w:cstheme="minorEastAsia"/>
          <w:b/>
          <w:bCs/>
          <w:sz w:val="24"/>
          <w:szCs w:val="24"/>
        </w:rPr>
        <w:outlineLvl w:val="2"/>
      </w:pPr>
      <w:r>
        <w:rPr>
          <w:rFonts w:hint="eastAsia" w:asciiTheme="minorEastAsia" w:hAnsiTheme="minorEastAsia" w:cstheme="minorEastAsia"/>
          <w:b/>
          <w:bCs/>
          <w:sz w:val="24"/>
          <w:szCs w:val="24"/>
        </w:rPr>
        <w:t xml:space="preserve">4.6.3第三方软件接口</w:t>
      </w:r>
      <w:r/>
    </w:p>
    <w:p>
      <w:pPr>
        <w:ind w:firstLine="480"/>
        <w:spacing w:line="4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现有第三方软件覆盖了医院日常运营的各个环节，按照接口要求与医疗集团同质化需求，提供各类系统接口，适配新系统，保证数据准确接收与发送。</w:t>
      </w:r>
      <w:r/>
    </w:p>
    <w:p>
      <w:pPr>
        <w:ind w:firstLine="480"/>
        <w:spacing w:line="400" w:lineRule="exact"/>
        <w:rPr>
          <w:rFonts w:ascii="宋体" w:hAnsi="宋体"/>
          <w:sz w:val="24"/>
          <w:szCs w:val="24"/>
        </w:rPr>
      </w:pPr>
      <w:r>
        <w:rPr>
          <w:rFonts w:ascii="宋体" w:hAnsi="宋体"/>
          <w:sz w:val="24"/>
          <w:szCs w:val="24"/>
        </w:rPr>
      </w:r>
      <w:r/>
    </w:p>
    <w:p>
      <w:pPr>
        <w:spacing w:line="400" w:lineRule="exact"/>
        <w:rPr>
          <w:rFonts w:ascii="宋体" w:hAnsi="宋体"/>
          <w:sz w:val="24"/>
        </w:rPr>
        <w:outlineLvl w:val="1"/>
      </w:pPr>
      <w:r>
        <w:rPr>
          <w:rFonts w:hint="eastAsia" w:ascii="黑体" w:hAnsi="黑体" w:eastAsia="黑体" w:cs="宋体"/>
          <w:sz w:val="28"/>
          <w:szCs w:val="28"/>
        </w:rPr>
        <w:t xml:space="preserve">五、项目实施要求</w:t>
      </w:r>
      <w:r>
        <w:rPr>
          <w:rFonts w:hint="eastAsia" w:ascii="黑体" w:hAnsi="黑体" w:eastAsia="黑体"/>
          <w:sz w:val="28"/>
          <w:szCs w:val="28"/>
        </w:rPr>
        <w:t xml:space="preserve">：</w:t>
      </w:r>
      <w:r/>
    </w:p>
    <w:p>
      <w:pPr>
        <w:ind w:firstLine="482"/>
        <w:spacing w:line="400" w:lineRule="exact"/>
        <w:rPr>
          <w:rFonts w:ascii="宋体" w:hAnsi="宋体"/>
          <w:sz w:val="24"/>
        </w:rPr>
      </w:pPr>
      <w:r>
        <w:rPr>
          <w:rFonts w:hint="eastAsia" w:ascii="宋体" w:hAnsi="宋体"/>
          <w:sz w:val="24"/>
        </w:rPr>
        <w:t xml:space="preserve">投标人应具备较好的创新开发技术能力和工程实施交付能力，应遵循信息技术服务管理体系和信息安全管理体系要求，能够按照信息安全服务规范标准要求提供本次项目的信息系统相关服务。</w:t>
      </w:r>
      <w:r/>
    </w:p>
    <w:p>
      <w:pPr>
        <w:ind w:firstLine="482"/>
        <w:spacing w:line="400" w:lineRule="exact"/>
        <w:rPr>
          <w:rFonts w:ascii="宋体" w:hAnsi="宋体"/>
          <w:sz w:val="24"/>
        </w:rPr>
      </w:pPr>
      <w:r>
        <w:rPr>
          <w:rFonts w:hint="eastAsia" w:ascii="宋体" w:hAnsi="宋体"/>
          <w:sz w:val="24"/>
        </w:rPr>
        <w:t xml:space="preserve">本项目需要签订项目合同后12个月内完成系统调研、安装、调试和系统上线工作。投标人应切实做好项目进度管理规划，在确保项目质量和安全的原则下，控制项目进度，确保项目建设按期完成并投入正常运行。</w:t>
      </w:r>
      <w:r/>
    </w:p>
    <w:p>
      <w:pPr>
        <w:ind w:firstLine="482"/>
        <w:spacing w:line="400" w:lineRule="exact"/>
        <w:rPr>
          <w:rFonts w:ascii="宋体" w:hAnsi="宋体"/>
          <w:sz w:val="24"/>
        </w:rPr>
      </w:pPr>
      <w:r>
        <w:rPr>
          <w:rFonts w:hint="eastAsia" w:ascii="宋体" w:hAnsi="宋体"/>
          <w:sz w:val="24"/>
        </w:rPr>
        <w:t xml:space="preserve">投标人应提出合理的实施方案，包括但不限于管理方案、组织架构、实施步骤、进度计划、质量保障、应急预案等，并在实施过程中进行追踪和控制，定时总结并汇报实施进度。</w:t>
      </w:r>
      <w:r/>
    </w:p>
    <w:p>
      <w:pPr>
        <w:ind w:firstLine="482"/>
        <w:spacing w:line="400" w:lineRule="exact"/>
        <w:rPr>
          <w:rFonts w:ascii="宋体" w:hAnsi="宋体"/>
          <w:sz w:val="24"/>
        </w:rPr>
      </w:pPr>
      <w:r>
        <w:rPr>
          <w:rFonts w:hint="eastAsia" w:ascii="宋体" w:hAnsi="宋体"/>
          <w:sz w:val="24"/>
        </w:rPr>
        <w:t xml:space="preserve">项目实施过程中应能根据采购人需求进行二次开发，期间可能由于采购人的需要及政策的变化而对系统进行相应的客户化修改，投标人必须无条件满足。</w:t>
      </w:r>
      <w:r/>
    </w:p>
    <w:p>
      <w:pPr>
        <w:ind w:firstLine="482"/>
        <w:spacing w:line="400" w:lineRule="exact"/>
        <w:rPr>
          <w:rFonts w:ascii="宋体" w:hAnsi="宋体"/>
          <w:sz w:val="24"/>
        </w:rPr>
      </w:pPr>
      <w:r>
        <w:rPr>
          <w:rFonts w:hint="eastAsia" w:ascii="宋体" w:hAnsi="宋体"/>
          <w:sz w:val="24"/>
        </w:rPr>
        <w:t xml:space="preserve">在项目建设实施及维护过程中，如医院需要，投标人应与医院共同定制开发信息系统产品，并完成软件著作权登记证书的申请和办理等工作。</w:t>
      </w:r>
      <w:r/>
    </w:p>
    <w:p>
      <w:pPr>
        <w:ind w:firstLine="482"/>
        <w:spacing w:line="400" w:lineRule="exact"/>
        <w:rPr>
          <w:rFonts w:ascii="宋体" w:hAnsi="宋体"/>
          <w:sz w:val="24"/>
        </w:rPr>
      </w:pPr>
      <w:r>
        <w:rPr>
          <w:rFonts w:hint="eastAsia" w:ascii="宋体" w:hAnsi="宋体"/>
          <w:sz w:val="24"/>
        </w:rPr>
        <w:t xml:space="preserve">项目建设完成后，投标人应协助医疗通过四级电子病历评审。</w:t>
      </w:r>
      <w:r/>
    </w:p>
    <w:p>
      <w:pPr>
        <w:ind w:firstLine="482"/>
        <w:spacing w:line="400" w:lineRule="exact"/>
        <w:rPr>
          <w:rFonts w:ascii="宋体" w:hAnsi="宋体"/>
          <w:sz w:val="24"/>
        </w:rPr>
      </w:pPr>
      <w:r>
        <w:rPr>
          <w:rFonts w:ascii="宋体" w:hAnsi="宋体"/>
          <w:sz w:val="24"/>
        </w:rPr>
      </w:r>
      <w:r/>
    </w:p>
    <w:p>
      <w:pPr>
        <w:spacing w:line="400" w:lineRule="exact"/>
        <w:rPr>
          <w:rFonts w:ascii="宋体" w:hAnsi="宋体"/>
          <w:sz w:val="24"/>
        </w:rPr>
        <w:outlineLvl w:val="1"/>
      </w:pPr>
      <w:r>
        <w:rPr>
          <w:rFonts w:hint="eastAsia" w:ascii="黑体" w:hAnsi="黑体" w:eastAsia="黑体" w:cs="宋体"/>
          <w:sz w:val="28"/>
          <w:szCs w:val="28"/>
        </w:rPr>
        <w:t xml:space="preserve">六、项目团队</w:t>
      </w:r>
      <w:r>
        <w:rPr>
          <w:rFonts w:hint="eastAsia" w:ascii="黑体" w:hAnsi="黑体" w:eastAsia="黑体"/>
          <w:sz w:val="28"/>
          <w:szCs w:val="28"/>
        </w:rPr>
        <w:t xml:space="preserve">：</w:t>
      </w:r>
      <w:r/>
    </w:p>
    <w:p>
      <w:pPr>
        <w:ind w:firstLine="482"/>
        <w:spacing w:line="400" w:lineRule="exact"/>
        <w:rPr>
          <w:rFonts w:ascii="宋体" w:hAnsi="宋体"/>
          <w:sz w:val="24"/>
        </w:rPr>
      </w:pPr>
      <w:r>
        <w:rPr>
          <w:rFonts w:hint="eastAsia" w:ascii="宋体" w:hAnsi="宋体"/>
          <w:sz w:val="24"/>
        </w:rPr>
        <w:t xml:space="preserve">项目实施期间，投标人应根据项目建设内容和进度需要，派驻具有一定资质能力水平的成员组成项目团队对医院信息系统进行实施及服务。</w:t>
      </w:r>
      <w:r/>
    </w:p>
    <w:p>
      <w:pPr>
        <w:ind w:firstLine="482"/>
        <w:spacing w:line="400" w:lineRule="exact"/>
        <w:rPr>
          <w:rFonts w:ascii="宋体" w:hAnsi="宋体"/>
          <w:sz w:val="24"/>
        </w:rPr>
      </w:pPr>
      <w:r>
        <w:rPr>
          <w:rFonts w:hint="eastAsia" w:ascii="宋体" w:hAnsi="宋体"/>
          <w:sz w:val="24"/>
        </w:rPr>
        <w:t xml:space="preserve">项目团队人员应合理配置，由具有一定资质能力水平的成员组成。项目管理团队应包括项目经理、开发组组长、</w:t>
      </w:r>
      <w:r>
        <w:rPr>
          <w:rFonts w:hint="eastAsia" w:ascii="宋体" w:hAnsi="宋体"/>
          <w:sz w:val="24"/>
        </w:rPr>
        <w:t xml:space="preserve">实施组</w:t>
      </w:r>
      <w:r>
        <w:rPr>
          <w:rFonts w:hint="eastAsia" w:ascii="宋体" w:hAnsi="宋体"/>
          <w:sz w:val="24"/>
        </w:rPr>
        <w:t xml:space="preserve">组长各一名，管理团队应具有较好的技术能力、项目管理能力或经验。项目团队其他成员应包括但不限于系统分析人员、架构设计人员、软件设</w:t>
      </w:r>
      <w:r>
        <w:rPr>
          <w:rFonts w:hint="eastAsia" w:ascii="宋体" w:hAnsi="宋体"/>
          <w:sz w:val="24"/>
        </w:rPr>
        <w:t xml:space="preserve">计人员等分工。</w:t>
      </w:r>
      <w:r/>
    </w:p>
    <w:p>
      <w:pPr>
        <w:ind w:firstLine="482"/>
        <w:spacing w:line="400" w:lineRule="exact"/>
        <w:rPr>
          <w:rFonts w:ascii="宋体" w:hAnsi="宋体"/>
          <w:sz w:val="24"/>
        </w:rPr>
      </w:pPr>
      <w:r>
        <w:rPr>
          <w:rFonts w:hint="eastAsia" w:ascii="宋体" w:hAnsi="宋体"/>
          <w:sz w:val="24"/>
        </w:rPr>
        <w:t xml:space="preserve">考虑到医院环境的特殊性，驻场开发期间，投标人应严格遵循职业健康安全管理体系和环境管理体系要求，要求项目团队人员遵守医院的管理制度，注意健康安全管理和环境管理。</w:t>
      </w:r>
      <w:r/>
    </w:p>
    <w:p>
      <w:pPr>
        <w:ind w:firstLine="482"/>
        <w:spacing w:line="400" w:lineRule="exact"/>
        <w:rPr>
          <w:rFonts w:ascii="宋体" w:hAnsi="宋体"/>
          <w:sz w:val="24"/>
        </w:rPr>
      </w:pPr>
      <w:r>
        <w:rPr>
          <w:rFonts w:ascii="宋体" w:hAnsi="宋体"/>
          <w:sz w:val="24"/>
        </w:rPr>
      </w:r>
      <w:r/>
    </w:p>
    <w:p>
      <w:pPr>
        <w:spacing w:line="400" w:lineRule="exact"/>
        <w:rPr>
          <w:rFonts w:ascii="宋体" w:hAnsi="宋体"/>
          <w:sz w:val="24"/>
        </w:rPr>
        <w:outlineLvl w:val="1"/>
      </w:pPr>
      <w:r>
        <w:rPr>
          <w:rFonts w:hint="eastAsia" w:ascii="黑体" w:hAnsi="黑体" w:eastAsia="黑体" w:cs="宋体"/>
          <w:sz w:val="28"/>
          <w:szCs w:val="28"/>
        </w:rPr>
        <w:t xml:space="preserve">七、项目验收</w:t>
      </w:r>
      <w:r>
        <w:rPr>
          <w:rFonts w:hint="eastAsia" w:ascii="黑体" w:hAnsi="黑体" w:eastAsia="黑体"/>
          <w:sz w:val="28"/>
          <w:szCs w:val="28"/>
        </w:rPr>
        <w:t xml:space="preserve">：</w:t>
      </w:r>
      <w:r/>
    </w:p>
    <w:p>
      <w:pPr>
        <w:ind w:firstLine="482"/>
        <w:spacing w:line="400" w:lineRule="exact"/>
        <w:rPr>
          <w:rFonts w:ascii="宋体" w:hAnsi="宋体"/>
          <w:sz w:val="24"/>
        </w:rPr>
      </w:pPr>
      <w:r>
        <w:rPr>
          <w:rFonts w:hint="eastAsia" w:ascii="宋体" w:hAnsi="宋体"/>
          <w:sz w:val="24"/>
        </w:rPr>
        <w:t xml:space="preserve">投标人应具备较完备的知识产权管理体系，能够在项目实施及服务过程中做好文档管理工作，并按照软件工程的相关要求，在项目验收时进行相关文档的移交。</w:t>
      </w:r>
      <w:r/>
    </w:p>
    <w:p>
      <w:pPr>
        <w:ind w:firstLine="482"/>
        <w:spacing w:line="400" w:lineRule="exact"/>
        <w:rPr>
          <w:rFonts w:ascii="宋体" w:hAnsi="宋体"/>
          <w:sz w:val="24"/>
        </w:rPr>
      </w:pPr>
      <w:r>
        <w:rPr>
          <w:rFonts w:hint="eastAsia" w:ascii="宋体" w:hAnsi="宋体"/>
          <w:sz w:val="24"/>
        </w:rPr>
        <w:t xml:space="preserve">完成全部应用软件交货安装调试完毕并完成试运行，并提交上述项目文档后，可向采购人书面申请验收付款。如无合理理由，采购人应接到书面验收申请7个工作日内组织本项目验收。</w:t>
      </w:r>
      <w:r/>
    </w:p>
    <w:p>
      <w:pPr>
        <w:ind w:firstLine="482"/>
        <w:spacing w:line="400" w:lineRule="exact"/>
        <w:rPr>
          <w:rFonts w:ascii="宋体" w:hAnsi="宋体"/>
          <w:sz w:val="24"/>
        </w:rPr>
      </w:pPr>
      <w:r>
        <w:rPr>
          <w:rFonts w:hint="eastAsia" w:ascii="宋体" w:hAnsi="宋体"/>
          <w:sz w:val="24"/>
        </w:rPr>
        <w:t xml:space="preserve">采购人应组织其各使用单位与管理单位提供必要的场地和部署工作条件。应组织各使用单位与管理单位责任人及时配合安装调试培训与验收工作。</w:t>
      </w:r>
      <w:r/>
    </w:p>
    <w:p>
      <w:pPr>
        <w:ind w:firstLine="482"/>
        <w:spacing w:line="400" w:lineRule="exact"/>
        <w:rPr>
          <w:rFonts w:ascii="宋体" w:hAnsi="宋体"/>
          <w:sz w:val="24"/>
        </w:rPr>
      </w:pPr>
      <w:r>
        <w:rPr>
          <w:rFonts w:hint="eastAsia" w:ascii="宋体" w:hAnsi="宋体"/>
          <w:sz w:val="24"/>
        </w:rPr>
        <w:t xml:space="preserve">验收标准按照国家、地区相关标准，招投标文件、合同条款具体执行。</w:t>
      </w:r>
      <w:r/>
    </w:p>
    <w:p>
      <w:pPr>
        <w:ind w:firstLine="482"/>
        <w:spacing w:line="400" w:lineRule="exact"/>
        <w:rPr>
          <w:rFonts w:ascii="宋体" w:hAnsi="宋体"/>
          <w:sz w:val="24"/>
        </w:rPr>
      </w:pPr>
      <w:r>
        <w:rPr>
          <w:rFonts w:ascii="宋体" w:hAnsi="宋体"/>
          <w:sz w:val="24"/>
        </w:rPr>
      </w:r>
      <w:r/>
    </w:p>
    <w:p>
      <w:pPr>
        <w:spacing w:line="400" w:lineRule="exact"/>
        <w:rPr>
          <w:rFonts w:ascii="宋体" w:hAnsi="宋体"/>
          <w:sz w:val="24"/>
        </w:rPr>
        <w:outlineLvl w:val="1"/>
      </w:pPr>
      <w:r>
        <w:rPr>
          <w:rFonts w:hint="eastAsia" w:ascii="黑体" w:hAnsi="黑体" w:eastAsia="黑体" w:cs="宋体"/>
          <w:sz w:val="28"/>
          <w:szCs w:val="28"/>
        </w:rPr>
        <w:t xml:space="preserve">八、项目培训</w:t>
      </w:r>
      <w:r>
        <w:rPr>
          <w:rFonts w:hint="eastAsia" w:ascii="黑体" w:hAnsi="黑体" w:eastAsia="黑体"/>
          <w:sz w:val="28"/>
          <w:szCs w:val="28"/>
        </w:rPr>
        <w:t xml:space="preserve">：</w:t>
      </w:r>
      <w:r/>
    </w:p>
    <w:p>
      <w:pPr>
        <w:ind w:firstLine="482"/>
        <w:spacing w:line="400" w:lineRule="exact"/>
        <w:rPr>
          <w:rFonts w:ascii="宋体" w:hAnsi="宋体"/>
          <w:sz w:val="24"/>
        </w:rPr>
      </w:pPr>
      <w:r>
        <w:rPr>
          <w:rFonts w:hint="eastAsia" w:ascii="宋体" w:hAnsi="宋体"/>
          <w:sz w:val="24"/>
        </w:rPr>
        <w:t xml:space="preserve">投标人中标后应向采购人提供免费培训，须针对医院管理人员、业务系统操作人员及系统管理人员等培训对象，制定有针对性的课程内容。</w:t>
      </w:r>
      <w:r/>
    </w:p>
    <w:p>
      <w:pPr>
        <w:ind w:firstLine="482"/>
        <w:spacing w:line="400" w:lineRule="exact"/>
        <w:rPr>
          <w:rFonts w:ascii="宋体" w:hAnsi="宋体"/>
          <w:sz w:val="24"/>
        </w:rPr>
      </w:pPr>
      <w:r>
        <w:rPr>
          <w:rFonts w:hint="eastAsia" w:ascii="宋体" w:hAnsi="宋体"/>
          <w:sz w:val="24"/>
        </w:rPr>
        <w:t xml:space="preserve">培训方式应包括一对一培训、小班培训和集中培训等不同培训方式，必要时还应提供网络培训。</w:t>
      </w:r>
      <w:r/>
    </w:p>
    <w:p>
      <w:pPr>
        <w:ind w:firstLine="482"/>
        <w:spacing w:line="400" w:lineRule="exact"/>
        <w:rPr>
          <w:rFonts w:ascii="宋体" w:hAnsi="宋体"/>
          <w:sz w:val="24"/>
        </w:rPr>
      </w:pPr>
      <w:r>
        <w:rPr>
          <w:rFonts w:hint="eastAsia" w:ascii="宋体" w:hAnsi="宋体"/>
          <w:sz w:val="24"/>
        </w:rPr>
        <w:t xml:space="preserve">投标人应在投标文件中提出全面、详细的培训计划，包括但不限于培训课程、培训时间、地点、授课老师等。</w:t>
      </w:r>
      <w:r/>
    </w:p>
    <w:p>
      <w:pPr>
        <w:ind w:firstLine="482"/>
        <w:spacing w:line="400" w:lineRule="exact"/>
        <w:rPr>
          <w:rFonts w:ascii="宋体" w:hAnsi="宋体"/>
          <w:sz w:val="24"/>
        </w:rPr>
      </w:pPr>
      <w:r>
        <w:rPr>
          <w:rFonts w:hint="eastAsia" w:ascii="宋体" w:hAnsi="宋体"/>
          <w:sz w:val="24"/>
        </w:rPr>
        <w:t xml:space="preserve">投标人须为所有被培训人员提供培训用文字资料和讲义等相关用品。</w:t>
      </w:r>
      <w:r/>
    </w:p>
    <w:p>
      <w:pPr>
        <w:ind w:firstLine="482"/>
        <w:spacing w:line="400" w:lineRule="exact"/>
        <w:rPr>
          <w:rFonts w:ascii="宋体" w:hAnsi="宋体"/>
          <w:sz w:val="24"/>
        </w:rPr>
      </w:pPr>
      <w:r>
        <w:rPr>
          <w:rFonts w:hint="eastAsia" w:ascii="宋体" w:hAnsi="宋体"/>
          <w:sz w:val="24"/>
        </w:rPr>
        <w:t xml:space="preserve">投标人应按采购人约定合理地安排培训时间。</w:t>
      </w:r>
      <w:r/>
    </w:p>
    <w:p>
      <w:pPr>
        <w:ind w:firstLine="482"/>
        <w:spacing w:line="400" w:lineRule="exact"/>
        <w:rPr>
          <w:rFonts w:ascii="宋体" w:hAnsi="宋体"/>
          <w:sz w:val="24"/>
        </w:rPr>
      </w:pPr>
      <w:r>
        <w:rPr>
          <w:rFonts w:ascii="宋体" w:hAnsi="宋体"/>
          <w:sz w:val="24"/>
        </w:rPr>
      </w:r>
      <w:r/>
    </w:p>
    <w:p>
      <w:pPr>
        <w:spacing w:line="400" w:lineRule="exact"/>
        <w:rPr>
          <w:rFonts w:ascii="宋体" w:hAnsi="宋体"/>
          <w:sz w:val="24"/>
        </w:rPr>
        <w:outlineLvl w:val="1"/>
      </w:pPr>
      <w:r>
        <w:rPr>
          <w:rFonts w:hint="eastAsia" w:ascii="黑体" w:hAnsi="黑体" w:eastAsia="黑体" w:cs="宋体"/>
          <w:sz w:val="28"/>
          <w:szCs w:val="28"/>
        </w:rPr>
        <w:t xml:space="preserve">九、售后服务</w:t>
      </w:r>
      <w:r>
        <w:rPr>
          <w:rFonts w:hint="eastAsia" w:ascii="黑体" w:hAnsi="黑体" w:eastAsia="黑体"/>
          <w:sz w:val="28"/>
          <w:szCs w:val="28"/>
        </w:rPr>
        <w:t xml:space="preserve">：</w:t>
      </w:r>
      <w:r/>
    </w:p>
    <w:p>
      <w:pPr>
        <w:ind w:firstLine="482"/>
        <w:spacing w:line="400" w:lineRule="exact"/>
        <w:rPr>
          <w:rFonts w:ascii="宋体" w:hAnsi="宋体"/>
          <w:sz w:val="24"/>
        </w:rPr>
      </w:pPr>
      <w:r>
        <w:rPr>
          <w:rFonts w:hint="eastAsia" w:ascii="宋体" w:hAnsi="宋体"/>
          <w:sz w:val="24"/>
        </w:rPr>
        <w:t xml:space="preserve">投标人应具备较完备的信息技术服务管理体系，遵循信息技术服务运行维护服务能力成熟度模型标准，以响应采购人的技术服务要求。</w:t>
      </w:r>
      <w:r/>
    </w:p>
    <w:p>
      <w:pPr>
        <w:ind w:firstLine="482"/>
        <w:spacing w:line="400" w:lineRule="exact"/>
        <w:rPr>
          <w:rFonts w:ascii="宋体" w:hAnsi="宋体"/>
          <w:sz w:val="24"/>
        </w:rPr>
      </w:pPr>
      <w:r>
        <w:rPr>
          <w:rFonts w:hint="eastAsia" w:ascii="宋体" w:hAnsi="宋体"/>
          <w:sz w:val="24"/>
        </w:rPr>
        <w:t xml:space="preserve">所有信息系统应用软件产品的质保期为签订验收合格书之日起一年。</w:t>
      </w:r>
      <w:r/>
    </w:p>
    <w:p>
      <w:pPr>
        <w:ind w:firstLine="482"/>
        <w:spacing w:line="400" w:lineRule="exact"/>
        <w:rPr>
          <w:rFonts w:ascii="宋体" w:hAnsi="宋体"/>
          <w:sz w:val="24"/>
        </w:rPr>
      </w:pPr>
      <w:r>
        <w:rPr>
          <w:rFonts w:hint="eastAsia" w:ascii="宋体" w:hAnsi="宋体"/>
          <w:sz w:val="24"/>
        </w:rPr>
        <w:t xml:space="preserve">质保期内投标人应满足驻场服务人员1名、线上服务人员2名。</w:t>
      </w:r>
      <w:r/>
    </w:p>
    <w:p>
      <w:pPr>
        <w:ind w:firstLine="482"/>
        <w:spacing w:line="400" w:lineRule="exact"/>
        <w:rPr>
          <w:rFonts w:ascii="宋体" w:hAnsi="宋体"/>
          <w:sz w:val="24"/>
        </w:rPr>
      </w:pPr>
      <w:r>
        <w:rPr>
          <w:rFonts w:hint="eastAsia" w:ascii="宋体" w:hAnsi="宋体"/>
          <w:sz w:val="24"/>
        </w:rPr>
        <w:t xml:space="preserve">响应时间：投标人在投标书中必须明确承诺售后服务响应时间，并不得低于以下标准：提供7×24电话或电子邮件服务，接到业主报修通知后，驻场人员应及时做出响应和安排，并于8小时内做出故障诊断报告。如驻场人员或线上无法解决的，具有解决故障能力的工程师应在接到报修通知次日到达现场。</w:t>
      </w:r>
      <w:r>
        <w:rPr>
          <w:rFonts w:hint="eastAsia" w:ascii="宋体" w:hAnsi="宋体"/>
          <w:b/>
          <w:bCs/>
          <w:sz w:val="24"/>
        </w:rPr>
        <w:t xml:space="preserve">（须提供售后服务承诺函，格式自拟，未提供将作为无效投标）</w:t>
      </w:r>
      <w:r/>
    </w:p>
    <w:p>
      <w:pPr>
        <w:ind w:firstLine="482"/>
        <w:spacing w:line="400" w:lineRule="exact"/>
        <w:rPr>
          <w:rFonts w:ascii="宋体" w:hAnsi="宋体"/>
          <w:sz w:val="24"/>
        </w:rPr>
      </w:pPr>
      <w:r>
        <w:rPr>
          <w:rFonts w:hint="eastAsia" w:ascii="宋体" w:hAnsi="宋体"/>
          <w:sz w:val="24"/>
        </w:rPr>
        <w:t xml:space="preserve">投标人应具备较好的业务连续性管理体系，及时做好应急预案，避免医院业务因为系统故障导致业务活动的减少或中断，并确保及时恢复系统或提供应急系统。</w:t>
      </w:r>
      <w:r/>
    </w:p>
    <w:p>
      <w:pPr>
        <w:ind w:firstLine="482"/>
        <w:spacing w:line="400" w:lineRule="exact"/>
        <w:rPr>
          <w:rFonts w:ascii="宋体" w:hAnsi="宋体"/>
          <w:sz w:val="24"/>
        </w:rPr>
      </w:pPr>
      <w:r>
        <w:rPr>
          <w:rFonts w:hint="eastAsia" w:ascii="宋体" w:hAnsi="宋体"/>
          <w:sz w:val="24"/>
        </w:rPr>
        <w:t xml:space="preserve">项目建设期间及质保期均属于免费服务期，该期限内的所有售后服务，包括软件维护所产生的费用均由中标人承担。</w:t>
      </w:r>
      <w:r/>
    </w:p>
    <w:p>
      <w:pPr>
        <w:ind w:firstLine="482"/>
        <w:spacing w:line="400" w:lineRule="exact"/>
        <w:rPr>
          <w:rFonts w:ascii="宋体" w:hAnsi="宋体"/>
          <w:sz w:val="24"/>
        </w:rPr>
      </w:pPr>
      <w:r>
        <w:rPr>
          <w:rFonts w:hint="eastAsia" w:ascii="宋体" w:hAnsi="宋体"/>
          <w:sz w:val="24"/>
        </w:rPr>
        <w:t xml:space="preserve">质保期满后，投标人应可向业主提供与质保期一致的收费售后服务，服务费用经双方另行协商后收取。</w:t>
      </w:r>
      <w:r/>
    </w:p>
    <w:p>
      <w:pPr>
        <w:ind w:firstLine="482"/>
        <w:spacing w:line="400" w:lineRule="exact"/>
        <w:rPr>
          <w:rFonts w:ascii="宋体" w:hAnsi="宋体"/>
          <w:sz w:val="24"/>
        </w:rPr>
      </w:pPr>
      <w:r>
        <w:rPr>
          <w:rFonts w:ascii="宋体" w:hAnsi="宋体"/>
          <w:sz w:val="24"/>
        </w:rPr>
      </w:r>
      <w:r/>
    </w:p>
    <w:p>
      <w:pPr>
        <w:spacing w:line="400" w:lineRule="exact"/>
        <w:rPr>
          <w:rFonts w:ascii="宋体" w:hAnsi="宋体"/>
          <w:sz w:val="24"/>
        </w:rPr>
        <w:outlineLvl w:val="1"/>
      </w:pPr>
      <w:r>
        <w:rPr>
          <w:rFonts w:hint="eastAsia" w:ascii="黑体" w:hAnsi="黑体" w:eastAsia="黑体" w:cs="宋体"/>
          <w:sz w:val="28"/>
          <w:szCs w:val="28"/>
        </w:rPr>
        <w:t xml:space="preserve">十、付款方式</w:t>
      </w:r>
      <w:r>
        <w:rPr>
          <w:rFonts w:hint="eastAsia" w:ascii="黑体" w:hAnsi="黑体" w:eastAsia="黑体"/>
          <w:sz w:val="28"/>
          <w:szCs w:val="28"/>
        </w:rPr>
        <w:t xml:space="preserve">：</w:t>
      </w:r>
      <w:r/>
    </w:p>
    <w:p>
      <w:pPr>
        <w:ind w:firstLine="480"/>
        <w:spacing w:line="400" w:lineRule="exact"/>
        <w:rPr>
          <w:rFonts w:ascii="宋体" w:hAnsi="宋体"/>
          <w:sz w:val="24"/>
        </w:rPr>
      </w:pPr>
      <w:r>
        <w:rPr>
          <w:rFonts w:hint="eastAsia" w:ascii="宋体" w:hAnsi="宋体"/>
          <w:sz w:val="24"/>
        </w:rPr>
        <w:t xml:space="preserve">合同签订后支付30%，项目完成经验收合格后支付60%，验收合格满一年后支付剩余10%。</w:t>
      </w:r>
      <w:r/>
    </w:p>
    <w:p>
      <w:pPr>
        <w:ind w:firstLine="480"/>
        <w:spacing w:line="400" w:lineRule="exact"/>
        <w:rPr>
          <w:rFonts w:ascii="宋体" w:hAnsi="宋体" w:eastAsia="宋体" w:cs="楷体"/>
          <w:sz w:val="24"/>
        </w:rPr>
      </w:pPr>
      <w:r>
        <w:rPr>
          <w:rFonts w:hint="eastAsia" w:ascii="宋体" w:hAnsi="宋体" w:eastAsia="宋体" w:cs="楷体"/>
          <w:sz w:val="24"/>
        </w:rPr>
        <w:t xml:space="preserve">如本项目为中小企业中标，则付款方式按照《保障中小企业款项支付条例》(中华人民共和国国务院令第802号)执行。</w:t>
      </w:r>
      <w:r/>
    </w:p>
    <w:p>
      <w:pPr>
        <w:spacing w:line="400" w:lineRule="exact"/>
        <w:rPr>
          <w:rFonts w:ascii="宋体" w:hAnsi="宋体" w:eastAsia="宋体" w:cs="楷体"/>
          <w:sz w:val="24"/>
        </w:rPr>
      </w:pPr>
      <w:r>
        <w:rPr>
          <w:rFonts w:ascii="宋体" w:hAnsi="宋体" w:eastAsia="宋体" w:cs="楷体"/>
          <w:sz w:val="24"/>
        </w:rPr>
      </w:r>
      <w:r/>
    </w:p>
    <w:p>
      <w:pPr>
        <w:jc w:val="left"/>
        <w:spacing w:line="400" w:lineRule="exact"/>
        <w:widowControl/>
        <w:rPr>
          <w:rFonts w:ascii="黑体" w:hAnsi="黑体" w:eastAsia="黑体" w:cs="宋体"/>
          <w:sz w:val="28"/>
          <w:szCs w:val="28"/>
        </w:rPr>
        <w:outlineLvl w:val="1"/>
      </w:pPr>
      <w:r>
        <w:rPr>
          <w:rFonts w:hint="eastAsia" w:ascii="黑体" w:hAnsi="黑体" w:eastAsia="黑体" w:cs="宋体"/>
          <w:sz w:val="28"/>
          <w:szCs w:val="28"/>
        </w:rPr>
        <w:t xml:space="preserve">十一、有关说明：</w:t>
      </w:r>
      <w:r/>
    </w:p>
    <w:p>
      <w:pPr>
        <w:ind w:firstLine="480"/>
        <w:spacing w:line="400" w:lineRule="exact"/>
        <w:rPr>
          <w:rFonts w:ascii="宋体" w:hAnsi="宋体" w:eastAsia="宋体" w:cs="微软雅黑"/>
          <w:bCs/>
          <w:sz w:val="24"/>
          <w:szCs w:val="24"/>
        </w:rPr>
      </w:pPr>
      <w:r>
        <w:rPr>
          <w:rFonts w:hint="eastAsia" w:ascii="宋体" w:hAnsi="宋体" w:eastAsia="宋体" w:cs="微软雅黑"/>
          <w:bCs/>
          <w:sz w:val="24"/>
          <w:szCs w:val="24"/>
        </w:rPr>
        <w:t xml:space="preserve">1、本项目为一个包，投标人报价内容必须报全，不得漏项。</w:t>
      </w:r>
      <w:r/>
    </w:p>
    <w:p>
      <w:pPr>
        <w:ind w:firstLine="480"/>
        <w:spacing w:line="400" w:lineRule="exact"/>
        <w:rPr>
          <w:rFonts w:ascii="宋体" w:hAnsi="宋体" w:eastAsia="宋体" w:cs="微软雅黑"/>
          <w:bCs/>
          <w:sz w:val="24"/>
          <w:szCs w:val="24"/>
        </w:rPr>
      </w:pPr>
      <w:r>
        <w:rPr>
          <w:rFonts w:hint="eastAsia" w:ascii="宋体" w:hAnsi="宋体" w:eastAsia="宋体" w:cs="微软雅黑"/>
          <w:bCs/>
          <w:sz w:val="24"/>
          <w:szCs w:val="24"/>
        </w:rPr>
        <w:t xml:space="preserve">2、本项目为固定总价合同，项目报价（合同总价）应包括完成本项目可能发生的所有费用，包括各种工作经费（软件开发费、外业调查费、内</w:t>
      </w:r>
      <w:r>
        <w:rPr>
          <w:rFonts w:hint="eastAsia" w:ascii="宋体" w:hAnsi="宋体" w:eastAsia="宋体" w:cs="微软雅黑"/>
          <w:bCs/>
          <w:sz w:val="24"/>
          <w:szCs w:val="24"/>
        </w:rPr>
        <w:t xml:space="preserve">业处理</w:t>
      </w:r>
      <w:r>
        <w:rPr>
          <w:rFonts w:hint="eastAsia" w:ascii="宋体" w:hAnsi="宋体" w:eastAsia="宋体" w:cs="微软雅黑"/>
          <w:bCs/>
          <w:sz w:val="24"/>
          <w:szCs w:val="24"/>
        </w:rPr>
        <w:t xml:space="preserve">费等）、成果验收费、售后服务费用、税金等。采购文件未列明，而投标人认为其他必需的费用也需列入报价。在合同实施时，采购人将不予支付承建方没有填列的项目费用，并认为此项目的费用已包括在合同价格中。 </w:t>
      </w:r>
      <w:r/>
    </w:p>
    <w:p>
      <w:pPr>
        <w:ind w:firstLine="480"/>
        <w:spacing w:line="400" w:lineRule="exact"/>
        <w:rPr>
          <w:rFonts w:ascii="宋体" w:hAnsi="宋体" w:eastAsia="宋体" w:cs="微软雅黑"/>
          <w:bCs/>
          <w:sz w:val="24"/>
          <w:szCs w:val="24"/>
        </w:rPr>
      </w:pPr>
      <w:r>
        <w:rPr>
          <w:rFonts w:hint="eastAsia" w:ascii="宋体" w:hAnsi="宋体" w:eastAsia="宋体" w:cs="微软雅黑"/>
          <w:bCs/>
          <w:sz w:val="24"/>
          <w:szCs w:val="24"/>
        </w:rPr>
        <w:t xml:space="preserve">3、招标人向投标人提供的有关现场的数据和资料，是招标人现有的能被投标人利用的资料，招标人对投标人做出的任何推论、理解和结论均不负责任。</w:t>
      </w:r>
      <w:r/>
    </w:p>
    <w:p>
      <w:pPr>
        <w:ind w:firstLine="480"/>
        <w:spacing w:line="400" w:lineRule="exact"/>
        <w:rPr>
          <w:rFonts w:ascii="宋体" w:hAnsi="宋体" w:eastAsia="宋体" w:cs="微软雅黑"/>
          <w:bCs/>
          <w:sz w:val="24"/>
          <w:szCs w:val="24"/>
        </w:rPr>
      </w:pPr>
      <w:r>
        <w:rPr>
          <w:rFonts w:hint="eastAsia" w:ascii="宋体" w:hAnsi="宋体" w:eastAsia="宋体" w:cs="微软雅黑"/>
          <w:bCs/>
          <w:sz w:val="24"/>
          <w:szCs w:val="24"/>
        </w:rPr>
        <w:t xml:space="preserve">4、投标人中标后应保证在本项目的任何产品使用（包括部分使用）时，不会产生因第三方提出侵犯其专利权、商标权或其它知识产权而引起的法律和经济纠纷，而影响采购人利益。若因本项目所产生的知识产权纠纷，采购人不承担任何责任。 </w:t>
      </w:r>
      <w:r/>
    </w:p>
    <w:p>
      <w:pPr>
        <w:ind w:firstLine="480"/>
        <w:spacing w:line="400" w:lineRule="exact"/>
        <w:rPr>
          <w:rFonts w:ascii="宋体" w:hAnsi="宋体" w:eastAsia="宋体" w:cs="微软雅黑"/>
          <w:bCs/>
          <w:sz w:val="24"/>
          <w:szCs w:val="24"/>
        </w:rPr>
      </w:pPr>
      <w:r>
        <w:rPr>
          <w:rFonts w:hint="eastAsia" w:ascii="宋体" w:hAnsi="宋体" w:eastAsia="宋体" w:cs="微软雅黑"/>
          <w:bCs/>
          <w:sz w:val="24"/>
          <w:szCs w:val="24"/>
        </w:rPr>
        <w:t xml:space="preserve">5、对于投标人向采购人提供的投标人原已开发的软件，其知识产权的所有权归投标人所有，不因本项目合同而转移。在本合同范围内，采购人若有新需求经认可后，投标人应配合开发，由采购人提供全程技术指导，因此形成的知识成果本身，包括本项目中投标人为完成项目给采购人定向开发的软件，其知识产权归采购人所有。</w:t>
      </w:r>
      <w:r/>
    </w:p>
    <w:p>
      <w:pPr>
        <w:ind w:firstLine="480"/>
        <w:spacing w:line="400" w:lineRule="exact"/>
        <w:rPr>
          <w:rFonts w:ascii="宋体" w:hAnsi="宋体" w:eastAsia="宋体" w:cs="微软雅黑"/>
          <w:bCs/>
          <w:sz w:val="24"/>
          <w:szCs w:val="24"/>
        </w:rPr>
      </w:pPr>
      <w:r>
        <w:rPr>
          <w:rFonts w:hint="eastAsia" w:ascii="宋体" w:hAnsi="宋体" w:eastAsia="宋体" w:cs="微软雅黑"/>
          <w:bCs/>
          <w:sz w:val="24"/>
          <w:szCs w:val="24"/>
        </w:rPr>
        <w:t xml:space="preserve">6、凡涉及招标文件的补充说明或修正，均以江阴市政府采购中心书面依据为准。 </w:t>
      </w:r>
      <w:r/>
    </w:p>
    <w:p>
      <w:pPr>
        <w:ind w:firstLine="480"/>
        <w:spacing w:line="400" w:lineRule="exact"/>
        <w:rPr>
          <w:rFonts w:ascii="宋体" w:hAnsi="宋体" w:eastAsia="宋体" w:cs="微软雅黑"/>
          <w:bCs/>
          <w:sz w:val="24"/>
          <w:szCs w:val="24"/>
        </w:rPr>
      </w:pPr>
      <w:r>
        <w:rPr>
          <w:rFonts w:hint="eastAsia" w:ascii="宋体" w:hAnsi="宋体" w:eastAsia="宋体" w:cs="微软雅黑"/>
          <w:bCs/>
          <w:sz w:val="24"/>
          <w:szCs w:val="24"/>
        </w:rPr>
        <w:t xml:space="preserve">7、江阴市政府采购中心对本次招标结果不作任何解释。</w:t>
      </w:r>
      <w:r/>
    </w:p>
    <w:p>
      <w:pPr>
        <w:jc w:val="center"/>
        <w:spacing w:line="400" w:lineRule="exact"/>
        <w:tabs>
          <w:tab w:val="left" w:pos="0" w:leader="none"/>
        </w:tabs>
        <w:rPr>
          <w:rFonts w:ascii="黑体" w:hAnsi="黑体" w:eastAsia="黑体" w:cs="Times New Roman"/>
          <w:bCs/>
          <w:sz w:val="30"/>
          <w:szCs w:val="30"/>
        </w:rPr>
        <w:sectPr>
          <w:footnotePr/>
          <w:endnotePr/>
          <w:type w:val="nextPage"/>
          <w:pgSz w:w="11906" w:h="16838" w:orient="portrait"/>
          <w:pgMar w:top="1247" w:right="1247" w:bottom="1247" w:left="1247" w:header="680" w:footer="992" w:gutter="0"/>
          <w:cols w:num="1" w:sep="0" w:space="720" w:equalWidth="1"/>
          <w:docGrid w:linePitch="360"/>
        </w:sectPr>
      </w:pPr>
      <w:r>
        <w:rPr>
          <w:rFonts w:ascii="黑体" w:hAnsi="黑体" w:eastAsia="黑体" w:cs="Times New Roman"/>
          <w:bCs/>
          <w:sz w:val="30"/>
          <w:szCs w:val="30"/>
        </w:rPr>
      </w:r>
      <w:r/>
    </w:p>
    <w:p>
      <w:pPr>
        <w:jc w:val="center"/>
        <w:spacing w:line="400" w:lineRule="exact"/>
        <w:tabs>
          <w:tab w:val="left" w:pos="0" w:leader="none"/>
        </w:tabs>
        <w:rPr>
          <w:rFonts w:ascii="黑体" w:hAnsi="黑体" w:eastAsia="黑体" w:cs="Times New Roman"/>
          <w:bCs/>
          <w:sz w:val="30"/>
          <w:szCs w:val="30"/>
        </w:rPr>
      </w:pPr>
      <w:r>
        <w:rPr>
          <w:rFonts w:ascii="黑体" w:hAnsi="黑体" w:eastAsia="黑体" w:cs="Times New Roman"/>
          <w:bCs/>
          <w:sz w:val="30"/>
          <w:szCs w:val="30"/>
        </w:rPr>
      </w:r>
      <w:r/>
    </w:p>
    <w:p>
      <w:pPr>
        <w:jc w:val="center"/>
        <w:spacing w:line="400" w:lineRule="exact"/>
        <w:tabs>
          <w:tab w:val="left" w:pos="0" w:leader="none"/>
        </w:tabs>
        <w:rPr>
          <w:rFonts w:ascii="黑体" w:hAnsi="黑体" w:eastAsia="黑体" w:cs="Times New Roman"/>
          <w:sz w:val="30"/>
          <w:szCs w:val="30"/>
        </w:rPr>
        <w:outlineLvl w:val="0"/>
      </w:pPr>
      <w:r/>
      <w:bookmarkStart w:id="66" w:name="_Toc10076"/>
      <w:r>
        <w:rPr>
          <w:rFonts w:hint="eastAsia" w:ascii="黑体" w:hAnsi="黑体" w:eastAsia="黑体" w:cs="Times New Roman"/>
          <w:bCs/>
          <w:sz w:val="30"/>
          <w:szCs w:val="30"/>
        </w:rPr>
        <w:t xml:space="preserve">第四章</w:t>
      </w:r>
      <w:r>
        <w:rPr>
          <w:rFonts w:hint="eastAsia" w:ascii="Calibri" w:hAnsi="Calibri" w:eastAsia="宋体" w:cs="Times New Roman"/>
        </w:rPr>
        <w:t xml:space="preserve"> </w:t>
      </w:r>
      <w:r>
        <w:rPr>
          <w:rFonts w:hint="eastAsia" w:ascii="Calibri" w:hAnsi="Calibri" w:eastAsia="宋体" w:cs="Times New Roman"/>
        </w:rPr>
        <w:t xml:space="preserve">　</w:t>
      </w:r>
      <w:r>
        <w:rPr>
          <w:rFonts w:hint="eastAsia" w:ascii="黑体" w:hAnsi="黑体" w:eastAsia="黑体" w:cs="Times New Roman"/>
          <w:bCs/>
          <w:sz w:val="30"/>
          <w:szCs w:val="30"/>
        </w:rPr>
        <w:t xml:space="preserve">评标方法和评标标准</w:t>
      </w:r>
      <w:bookmarkEnd w:id="66"/>
      <w:r/>
      <w:r/>
    </w:p>
    <w:p>
      <w:pPr>
        <w:ind w:firstLine="480"/>
        <w:spacing w:line="400" w:lineRule="exact"/>
        <w:rPr>
          <w:rFonts w:ascii="宋体" w:hAnsi="宋体" w:eastAsia="宋体" w:cs="Times New Roman"/>
          <w:sz w:val="24"/>
        </w:rPr>
      </w:pPr>
      <w:r>
        <w:rPr>
          <w:rFonts w:ascii="宋体" w:hAnsi="宋体" w:eastAsia="宋体" w:cs="Times New Roman"/>
          <w:sz w:val="24"/>
        </w:rPr>
      </w:r>
      <w:r/>
    </w:p>
    <w:p>
      <w:pPr>
        <w:jc w:val="left"/>
        <w:spacing w:line="600" w:lineRule="exact"/>
        <w:rPr>
          <w:rFonts w:ascii="黑体" w:hAnsi="黑体" w:eastAsia="黑体" w:cs="Times New Roman"/>
          <w:sz w:val="28"/>
          <w:szCs w:val="28"/>
        </w:rPr>
      </w:pPr>
      <w:r>
        <w:rPr>
          <w:rFonts w:hint="eastAsia" w:ascii="黑体" w:hAnsi="黑体" w:eastAsia="黑体" w:cs="Times New Roman"/>
          <w:sz w:val="28"/>
          <w:szCs w:val="28"/>
        </w:rPr>
        <w:t xml:space="preserve">一、评标方法</w:t>
      </w:r>
      <w:r/>
    </w:p>
    <w:p>
      <w:pPr>
        <w:ind w:firstLine="480"/>
        <w:jc w:val="left"/>
        <w:spacing w:line="400" w:lineRule="exact"/>
        <w:rPr>
          <w:rFonts w:ascii="宋体" w:hAnsi="宋体" w:eastAsia="宋体" w:cs="Times New Roman"/>
          <w:sz w:val="24"/>
        </w:rPr>
      </w:pPr>
      <w:r>
        <w:rPr>
          <w:rFonts w:hint="eastAsia" w:ascii="宋体" w:hAnsi="宋体" w:eastAsia="宋体" w:cs="Times New Roman"/>
          <w:sz w:val="24"/>
        </w:rPr>
        <w:t xml:space="preserve">本次评审采用综合评标法，</w:t>
      </w:r>
      <w:r>
        <w:rPr>
          <w:rFonts w:ascii="宋体" w:hAnsi="宋体" w:eastAsia="宋体" w:cs="Times New Roman"/>
          <w:sz w:val="24"/>
        </w:rPr>
        <w:t xml:space="preserve">是指投标文件满足招标文件全部实质性要求，</w:t>
      </w:r>
      <w:r>
        <w:rPr>
          <w:rFonts w:ascii="宋体" w:hAnsi="宋体" w:eastAsia="宋体" w:cs="Times New Roman"/>
          <w:sz w:val="24"/>
        </w:rPr>
        <w:t xml:space="preserve">且按照</w:t>
      </w:r>
      <w:r>
        <w:rPr>
          <w:rFonts w:ascii="宋体" w:hAnsi="宋体" w:eastAsia="宋体" w:cs="Times New Roman"/>
          <w:sz w:val="24"/>
        </w:rPr>
        <w:t xml:space="preserve">评审因素的量化指标评审得分最高的投标人为中标候选人的评标方法</w:t>
      </w:r>
      <w:r>
        <w:rPr>
          <w:rFonts w:hint="eastAsia" w:ascii="宋体" w:hAnsi="宋体" w:eastAsia="宋体" w:cs="Times New Roman"/>
          <w:sz w:val="24"/>
        </w:rPr>
        <w:t xml:space="preserve">，</w:t>
      </w:r>
      <w:r>
        <w:rPr>
          <w:rFonts w:ascii="宋体" w:hAnsi="宋体" w:eastAsia="宋体" w:cs="Times New Roman"/>
          <w:sz w:val="24"/>
        </w:rPr>
        <w:t xml:space="preserve">评审因素包括投标报价、技术或者服务水平、履约能力、售后服务等。</w:t>
      </w:r>
      <w:r/>
    </w:p>
    <w:p>
      <w:pPr>
        <w:ind w:firstLine="480"/>
        <w:jc w:val="left"/>
        <w:spacing w:line="400" w:lineRule="exact"/>
        <w:rPr>
          <w:rFonts w:ascii="宋体" w:hAnsi="宋体" w:eastAsia="宋体" w:cs="Times New Roman"/>
          <w:bCs/>
          <w:sz w:val="24"/>
        </w:rPr>
      </w:pPr>
      <w:r>
        <w:rPr>
          <w:rFonts w:hint="eastAsia" w:ascii="宋体" w:hAnsi="宋体" w:eastAsia="宋体" w:cs="Times New Roman"/>
          <w:bCs/>
          <w:sz w:val="24"/>
        </w:rPr>
        <w:t xml:space="preserve">评标委员会遵循公平、公正、择优原则，独立按照评分标准分别评定投标人的分值；各投标人的最终得分为各评委所评定分值的平均值，并按高低顺序排列，确定中标候选单位。得分最高者为第一中标候选单位，采购人确认为中标单位。若得分相同，按投标报价由低到高顺序排列；得分且投标报价相同，按技术指标优劣顺序排列。</w:t>
      </w:r>
      <w:r/>
    </w:p>
    <w:p>
      <w:pPr>
        <w:ind w:firstLine="480"/>
        <w:spacing w:line="400" w:lineRule="exact"/>
        <w:rPr>
          <w:rFonts w:ascii="宋体" w:hAnsi="宋体" w:eastAsia="宋体" w:cs="Times New Roman"/>
          <w:sz w:val="24"/>
        </w:rPr>
      </w:pPr>
      <w:r>
        <w:rPr>
          <w:rFonts w:hint="eastAsia" w:ascii="宋体" w:hAnsi="宋体" w:eastAsia="宋体" w:cs="Times New Roman"/>
          <w:sz w:val="24"/>
        </w:rPr>
        <w:t xml:space="preserve">注：每部分的得分保留小数点后两位，合计得分保留小数点后两位。</w:t>
      </w:r>
      <w:r/>
    </w:p>
    <w:p>
      <w:pPr>
        <w:jc w:val="left"/>
        <w:spacing w:line="400" w:lineRule="exact"/>
        <w:rPr>
          <w:rFonts w:ascii="宋体" w:hAnsi="宋体" w:eastAsia="宋体" w:cs="Times New Roman"/>
          <w:b/>
          <w:sz w:val="24"/>
        </w:rPr>
      </w:pPr>
      <w:r>
        <w:rPr>
          <w:rFonts w:ascii="宋体" w:hAnsi="宋体" w:eastAsia="宋体" w:cs="Times New Roman"/>
          <w:b/>
          <w:sz w:val="24"/>
        </w:rPr>
      </w:r>
      <w:r/>
    </w:p>
    <w:p>
      <w:pPr>
        <w:numPr>
          <w:ilvl w:val="0"/>
          <w:numId w:val="2"/>
        </w:numPr>
        <w:spacing w:line="600" w:lineRule="exact"/>
        <w:rPr>
          <w:rFonts w:ascii="黑体" w:hAnsi="黑体" w:eastAsia="黑体" w:cs="Times New Roman"/>
          <w:sz w:val="28"/>
          <w:szCs w:val="28"/>
        </w:rPr>
      </w:pPr>
      <w:r>
        <w:rPr>
          <w:rFonts w:hint="eastAsia" w:ascii="黑体" w:hAnsi="黑体" w:eastAsia="黑体" w:cs="Times New Roman"/>
          <w:sz w:val="28"/>
          <w:szCs w:val="28"/>
        </w:rPr>
        <w:t xml:space="preserve">评分标准</w:t>
      </w:r>
      <w:r/>
    </w:p>
    <w:tbl>
      <w:tblPr>
        <w:tblW w:w="5000" w:type="pct"/>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Look w:val="04A0" w:firstRow="1" w:lastRow="0" w:firstColumn="1" w:lastColumn="0" w:noHBand="0" w:noVBand="1"/>
      </w:tblPr>
      <w:tblGrid>
        <w:gridCol w:w="1280"/>
        <w:gridCol w:w="798"/>
        <w:gridCol w:w="1199"/>
        <w:gridCol w:w="5639"/>
        <w:gridCol w:w="712"/>
      </w:tblGrid>
      <w:tr>
        <w:trPr>
          <w:jc w:val="center"/>
        </w:trPr>
        <w:tc>
          <w:tcPr>
            <w:tcBorders>
              <w:top w:val="single" w:color="auto" w:sz="8" w:space="0"/>
              <w:left w:val="single" w:color="auto" w:sz="8" w:space="0"/>
              <w:bottom w:val="single" w:color="auto" w:sz="6" w:space="0"/>
              <w:right w:val="single" w:color="auto" w:sz="6" w:space="0"/>
            </w:tcBorders>
            <w:tcW w:w="1280" w:type="dxa"/>
            <w:vAlign w:val="center"/>
            <w:textDirection w:val="lrTb"/>
            <w:noWrap w:val="false"/>
          </w:tcPr>
          <w:p>
            <w:pPr>
              <w:jc w:val="center"/>
              <w:spacing w:line="400" w:lineRule="exact"/>
              <w:rPr>
                <w:rFonts w:asciiTheme="minorEastAsia" w:hAnsiTheme="minorEastAsia"/>
                <w:b/>
                <w:sz w:val="24"/>
              </w:rPr>
            </w:pPr>
            <w:r/>
            <w:bookmarkStart w:id="67" w:name="_Hlk200616462"/>
            <w:r>
              <w:rPr>
                <w:rFonts w:hint="eastAsia" w:asciiTheme="minorEastAsia" w:hAnsiTheme="minorEastAsia"/>
                <w:b/>
                <w:sz w:val="24"/>
              </w:rPr>
              <w:t xml:space="preserve">评分项</w:t>
            </w:r>
            <w:r/>
          </w:p>
        </w:tc>
        <w:tc>
          <w:tcPr>
            <w:tcBorders>
              <w:top w:val="single" w:color="auto" w:sz="8" w:space="0"/>
              <w:left w:val="single" w:color="auto" w:sz="6" w:space="0"/>
              <w:bottom w:val="single" w:color="auto" w:sz="6" w:space="0"/>
              <w:right w:val="single" w:color="auto" w:sz="6" w:space="0"/>
            </w:tcBorders>
            <w:tcW w:w="798" w:type="dxa"/>
            <w:vAlign w:val="center"/>
            <w:textDirection w:val="lrTb"/>
            <w:noWrap w:val="false"/>
          </w:tcPr>
          <w:p>
            <w:pPr>
              <w:jc w:val="center"/>
              <w:spacing w:line="400" w:lineRule="exact"/>
              <w:rPr>
                <w:rFonts w:asciiTheme="minorEastAsia" w:hAnsiTheme="minorEastAsia"/>
                <w:b/>
                <w:sz w:val="24"/>
              </w:rPr>
            </w:pPr>
            <w:r>
              <w:rPr>
                <w:rFonts w:hint="eastAsia" w:asciiTheme="minorEastAsia" w:hAnsiTheme="minorEastAsia"/>
                <w:b/>
                <w:sz w:val="24"/>
              </w:rPr>
              <w:t xml:space="preserve">序号</w:t>
            </w:r>
            <w:r/>
          </w:p>
        </w:tc>
        <w:tc>
          <w:tcPr>
            <w:tcBorders>
              <w:top w:val="single" w:color="auto" w:sz="8" w:space="0"/>
              <w:left w:val="single" w:color="auto" w:sz="6" w:space="0"/>
              <w:bottom w:val="single" w:color="auto" w:sz="6" w:space="0"/>
              <w:right w:val="single" w:color="auto" w:sz="6" w:space="0"/>
            </w:tcBorders>
            <w:tcW w:w="1199" w:type="dxa"/>
            <w:vAlign w:val="center"/>
            <w:textDirection w:val="lrTb"/>
            <w:noWrap w:val="false"/>
          </w:tcPr>
          <w:p>
            <w:pPr>
              <w:jc w:val="center"/>
              <w:spacing w:line="400" w:lineRule="exact"/>
              <w:rPr>
                <w:rFonts w:asciiTheme="minorEastAsia" w:hAnsiTheme="minorEastAsia"/>
                <w:sz w:val="24"/>
              </w:rPr>
            </w:pPr>
            <w:r>
              <w:rPr>
                <w:rFonts w:hint="eastAsia" w:asciiTheme="minorEastAsia" w:hAnsiTheme="minorEastAsia"/>
                <w:b/>
                <w:bCs/>
                <w:sz w:val="24"/>
              </w:rPr>
              <w:t xml:space="preserve">评分因素</w:t>
            </w:r>
            <w:r/>
          </w:p>
        </w:tc>
        <w:tc>
          <w:tcPr>
            <w:tcBorders>
              <w:top w:val="single" w:color="auto" w:sz="8" w:space="0"/>
              <w:left w:val="single" w:color="auto" w:sz="6" w:space="0"/>
              <w:bottom w:val="single" w:color="auto" w:sz="6" w:space="0"/>
              <w:right w:val="single" w:color="auto" w:sz="6" w:space="0"/>
            </w:tcBorders>
            <w:tcW w:w="5639" w:type="dxa"/>
            <w:vAlign w:val="center"/>
            <w:textDirection w:val="lrTb"/>
            <w:noWrap w:val="false"/>
          </w:tcPr>
          <w:p>
            <w:pPr>
              <w:jc w:val="center"/>
              <w:spacing w:line="400" w:lineRule="exact"/>
              <w:rPr>
                <w:rFonts w:asciiTheme="minorEastAsia" w:hAnsiTheme="minorEastAsia"/>
                <w:b/>
                <w:sz w:val="24"/>
              </w:rPr>
            </w:pPr>
            <w:r>
              <w:rPr>
                <w:rFonts w:hint="eastAsia" w:asciiTheme="minorEastAsia" w:hAnsiTheme="minorEastAsia"/>
                <w:b/>
                <w:sz w:val="24"/>
              </w:rPr>
              <w:t xml:space="preserve">评分细则</w:t>
            </w:r>
            <w:r/>
          </w:p>
        </w:tc>
        <w:tc>
          <w:tcPr>
            <w:tcBorders>
              <w:top w:val="single" w:color="auto" w:sz="8" w:space="0"/>
              <w:left w:val="single" w:color="auto" w:sz="6" w:space="0"/>
              <w:bottom w:val="single" w:color="auto" w:sz="6" w:space="0"/>
              <w:right w:val="single" w:color="auto" w:sz="8" w:space="0"/>
            </w:tcBorders>
            <w:tcW w:w="712" w:type="dxa"/>
            <w:vAlign w:val="center"/>
            <w:textDirection w:val="lrTb"/>
            <w:noWrap w:val="false"/>
          </w:tcPr>
          <w:p>
            <w:pPr>
              <w:jc w:val="center"/>
              <w:spacing w:line="400" w:lineRule="exact"/>
              <w:rPr>
                <w:rFonts w:asciiTheme="minorEastAsia" w:hAnsiTheme="minorEastAsia"/>
                <w:b/>
                <w:sz w:val="24"/>
              </w:rPr>
            </w:pPr>
            <w:r>
              <w:rPr>
                <w:rFonts w:hint="eastAsia" w:asciiTheme="minorEastAsia" w:hAnsiTheme="minorEastAsia"/>
                <w:b/>
                <w:sz w:val="24"/>
              </w:rPr>
              <w:t xml:space="preserve">分值</w:t>
            </w:r>
            <w:r/>
          </w:p>
        </w:tc>
      </w:tr>
      <w:tr>
        <w:trPr>
          <w:jc w:val="center"/>
        </w:trPr>
        <w:tc>
          <w:tcPr>
            <w:tcBorders>
              <w:top w:val="single" w:color="auto" w:sz="6" w:space="0"/>
              <w:left w:val="single" w:color="auto" w:sz="8" w:space="0"/>
              <w:bottom w:val="single" w:color="auto" w:sz="6" w:space="0"/>
              <w:right w:val="single" w:color="auto" w:sz="6" w:space="0"/>
            </w:tcBorders>
            <w:tcW w:w="1280" w:type="dxa"/>
            <w:vAlign w:val="center"/>
            <w:textDirection w:val="lrTb"/>
            <w:noWrap w:val="false"/>
          </w:tcPr>
          <w:p>
            <w:pPr>
              <w:jc w:val="center"/>
              <w:spacing w:line="400" w:lineRule="exact"/>
              <w:rPr>
                <w:rFonts w:asciiTheme="minorEastAsia" w:hAnsiTheme="minorEastAsia"/>
                <w:sz w:val="24"/>
              </w:rPr>
            </w:pPr>
            <w:r>
              <w:rPr>
                <w:rFonts w:hint="eastAsia" w:asciiTheme="minorEastAsia" w:hAnsiTheme="minorEastAsia"/>
                <w:sz w:val="24"/>
              </w:rPr>
              <w:t xml:space="preserve">一、价格部分</w:t>
            </w:r>
            <w:r/>
          </w:p>
          <w:p>
            <w:pPr>
              <w:jc w:val="center"/>
              <w:spacing w:line="400" w:lineRule="exact"/>
              <w:rPr>
                <w:rFonts w:asciiTheme="minorEastAsia" w:hAnsiTheme="minorEastAsia"/>
                <w:sz w:val="24"/>
              </w:rPr>
            </w:pPr>
            <w:r>
              <w:rPr>
                <w:rFonts w:hint="eastAsia" w:asciiTheme="minorEastAsia" w:hAnsiTheme="minorEastAsia"/>
                <w:sz w:val="24"/>
              </w:rPr>
              <w:t xml:space="preserve">（20分）</w:t>
            </w:r>
            <w:r/>
          </w:p>
        </w:tc>
        <w:tc>
          <w:tcPr>
            <w:tcBorders>
              <w:top w:val="single" w:color="auto" w:sz="6" w:space="0"/>
              <w:left w:val="single" w:color="auto" w:sz="6" w:space="0"/>
              <w:bottom w:val="single" w:color="auto" w:sz="6" w:space="0"/>
              <w:right w:val="single" w:color="auto" w:sz="6" w:space="0"/>
            </w:tcBorders>
            <w:tcW w:w="798" w:type="dxa"/>
            <w:vAlign w:val="center"/>
            <w:textDirection w:val="lrTb"/>
            <w:noWrap w:val="false"/>
          </w:tcPr>
          <w:p>
            <w:pPr>
              <w:jc w:val="center"/>
              <w:spacing w:line="400" w:lineRule="exact"/>
              <w:rPr>
                <w:rFonts w:asciiTheme="minorEastAsia" w:hAnsiTheme="minorEastAsia"/>
                <w:sz w:val="24"/>
              </w:rPr>
            </w:pPr>
            <w:r>
              <w:rPr>
                <w:rFonts w:hint="eastAsia" w:asciiTheme="minorEastAsia" w:hAnsiTheme="minorEastAsia"/>
                <w:sz w:val="24"/>
              </w:rPr>
              <w:t xml:space="preserve">1.1</w:t>
            </w:r>
            <w:r/>
          </w:p>
        </w:tc>
        <w:tc>
          <w:tcPr>
            <w:tcBorders>
              <w:top w:val="single" w:color="auto" w:sz="6" w:space="0"/>
              <w:left w:val="single" w:color="auto" w:sz="6" w:space="0"/>
              <w:bottom w:val="single" w:color="auto" w:sz="6" w:space="0"/>
              <w:right w:val="single" w:color="auto" w:sz="6" w:space="0"/>
            </w:tcBorders>
            <w:tcW w:w="1199" w:type="dxa"/>
            <w:vAlign w:val="center"/>
            <w:textDirection w:val="lrTb"/>
            <w:noWrap w:val="false"/>
          </w:tcPr>
          <w:p>
            <w:pPr>
              <w:jc w:val="center"/>
              <w:spacing w:line="400" w:lineRule="exact"/>
              <w:rPr>
                <w:rFonts w:asciiTheme="minorEastAsia" w:hAnsiTheme="minorEastAsia"/>
                <w:sz w:val="24"/>
              </w:rPr>
            </w:pPr>
            <w:r>
              <w:rPr>
                <w:rFonts w:hint="eastAsia" w:asciiTheme="minorEastAsia" w:hAnsiTheme="minorEastAsia"/>
                <w:sz w:val="24"/>
              </w:rPr>
              <w:t xml:space="preserve">投标报价</w:t>
            </w:r>
            <w:r/>
          </w:p>
        </w:tc>
        <w:tc>
          <w:tcPr>
            <w:tcBorders>
              <w:top w:val="single" w:color="auto" w:sz="6" w:space="0"/>
              <w:left w:val="single" w:color="auto" w:sz="6" w:space="0"/>
              <w:bottom w:val="single" w:color="auto" w:sz="6" w:space="0"/>
              <w:right w:val="single" w:color="auto" w:sz="6" w:space="0"/>
            </w:tcBorders>
            <w:tcW w:w="5639" w:type="dxa"/>
            <w:vAlign w:val="center"/>
            <w:textDirection w:val="lrTb"/>
            <w:noWrap w:val="false"/>
          </w:tcPr>
          <w:p>
            <w:pP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满足招标文件要求且投标报价最低的投标报价为评标基准价，其价格为满分。其他投标人的价格</w:t>
            </w:r>
            <w:r>
              <w:rPr>
                <w:rFonts w:hint="eastAsia" w:ascii="宋体" w:hAnsi="宋体" w:eastAsia="宋体" w:cs="Times New Roman"/>
                <w:sz w:val="24"/>
                <w:szCs w:val="24"/>
              </w:rPr>
              <w:t xml:space="preserve">分按照</w:t>
            </w:r>
            <w:r>
              <w:rPr>
                <w:rFonts w:hint="eastAsia" w:ascii="宋体" w:hAnsi="宋体" w:eastAsia="宋体" w:cs="Times New Roman"/>
                <w:sz w:val="24"/>
                <w:szCs w:val="24"/>
              </w:rPr>
              <w:t xml:space="preserve">下列公式计算：</w:t>
            </w:r>
            <w:r/>
          </w:p>
          <w:p>
            <w:pPr>
              <w:jc w:val="left"/>
              <w:spacing w:line="400" w:lineRule="exact"/>
              <w:rPr>
                <w:rFonts w:asciiTheme="minorEastAsia" w:hAnsiTheme="minorEastAsia"/>
                <w:sz w:val="24"/>
              </w:rPr>
            </w:pPr>
            <w:r>
              <w:rPr>
                <w:rFonts w:hint="eastAsia" w:ascii="宋体" w:hAnsi="宋体" w:eastAsia="宋体" w:cs="Times New Roman"/>
                <w:sz w:val="24"/>
                <w:szCs w:val="24"/>
              </w:rPr>
              <w:t xml:space="preserve">投标报价得分＝（评标基准价/投标报价）×20分</w:t>
            </w:r>
            <w:r/>
          </w:p>
        </w:tc>
        <w:tc>
          <w:tcPr>
            <w:tcBorders>
              <w:top w:val="single" w:color="auto" w:sz="6" w:space="0"/>
              <w:left w:val="single" w:color="auto" w:sz="6" w:space="0"/>
              <w:bottom w:val="single" w:color="auto" w:sz="6" w:space="0"/>
              <w:right w:val="single" w:color="auto" w:sz="8" w:space="0"/>
            </w:tcBorders>
            <w:tcW w:w="712" w:type="dxa"/>
            <w:vAlign w:val="center"/>
            <w:textDirection w:val="lrTb"/>
            <w:noWrap w:val="false"/>
          </w:tcPr>
          <w:p>
            <w:pPr>
              <w:jc w:val="center"/>
              <w:spacing w:line="400" w:lineRule="exact"/>
              <w:rPr>
                <w:rFonts w:asciiTheme="minorEastAsia" w:hAnsiTheme="minorEastAsia"/>
                <w:sz w:val="24"/>
              </w:rPr>
            </w:pPr>
            <w:r>
              <w:rPr>
                <w:rFonts w:hint="eastAsia" w:asciiTheme="minorEastAsia" w:hAnsiTheme="minorEastAsia"/>
                <w:sz w:val="24"/>
              </w:rPr>
              <w:t xml:space="preserve">20</w:t>
            </w:r>
            <w:bookmarkEnd w:id="67"/>
            <w:r/>
            <w:r/>
          </w:p>
        </w:tc>
      </w:tr>
      <w:tr>
        <w:trPr>
          <w:jc w:val="center"/>
        </w:trPr>
        <w:tc>
          <w:tcPr>
            <w:tcBorders>
              <w:top w:val="single" w:color="auto" w:sz="6" w:space="0"/>
              <w:left w:val="single" w:color="auto" w:sz="8" w:space="0"/>
              <w:bottom w:val="single" w:color="auto" w:sz="6" w:space="0"/>
              <w:right w:val="single" w:color="auto" w:sz="6" w:space="0"/>
            </w:tcBorders>
            <w:tcW w:w="1280" w:type="dxa"/>
            <w:vAlign w:val="center"/>
            <w:vMerge w:val="restart"/>
            <w:textDirection w:val="lrTb"/>
            <w:noWrap w:val="false"/>
          </w:tcPr>
          <w:p>
            <w:pPr>
              <w:jc w:val="center"/>
              <w:spacing w:line="400" w:lineRule="exact"/>
              <w:rPr>
                <w:rFonts w:asciiTheme="minorEastAsia" w:hAnsiTheme="minorEastAsia"/>
                <w:sz w:val="24"/>
              </w:rPr>
            </w:pPr>
            <w:r>
              <w:rPr>
                <w:rFonts w:hint="eastAsia" w:asciiTheme="minorEastAsia" w:hAnsiTheme="minorEastAsia"/>
                <w:sz w:val="24"/>
              </w:rPr>
              <w:t xml:space="preserve">二、技术部分</w:t>
            </w:r>
            <w:r/>
          </w:p>
          <w:p>
            <w:pPr>
              <w:jc w:val="center"/>
              <w:spacing w:line="400" w:lineRule="exact"/>
              <w:rPr>
                <w:rFonts w:asciiTheme="minorEastAsia" w:hAnsiTheme="minorEastAsia"/>
                <w:sz w:val="24"/>
              </w:rPr>
            </w:pPr>
            <w:r>
              <w:rPr>
                <w:rFonts w:hint="eastAsia" w:asciiTheme="minorEastAsia" w:hAnsiTheme="minorEastAsia"/>
                <w:sz w:val="24"/>
              </w:rPr>
              <w:t xml:space="preserve">（60分）</w:t>
            </w:r>
            <w:r/>
          </w:p>
        </w:tc>
        <w:tc>
          <w:tcPr>
            <w:tcBorders>
              <w:top w:val="single" w:color="auto" w:sz="6" w:space="0"/>
              <w:left w:val="single" w:color="auto" w:sz="6" w:space="0"/>
              <w:bottom w:val="single" w:color="auto" w:sz="6" w:space="0"/>
              <w:right w:val="single" w:color="auto" w:sz="4" w:space="0"/>
            </w:tcBorders>
            <w:tcW w:w="798" w:type="dxa"/>
            <w:vAlign w:val="center"/>
            <w:textDirection w:val="lrTb"/>
            <w:noWrap w:val="false"/>
          </w:tcPr>
          <w:p>
            <w:pPr>
              <w:jc w:val="center"/>
              <w:spacing w:line="400" w:lineRule="exact"/>
              <w:rPr>
                <w:rFonts w:asciiTheme="minorEastAsia" w:hAnsiTheme="minorEastAsia"/>
                <w:sz w:val="24"/>
              </w:rPr>
            </w:pPr>
            <w:r>
              <w:rPr>
                <w:rFonts w:hint="eastAsia" w:asciiTheme="minorEastAsia" w:hAnsiTheme="minorEastAsia"/>
                <w:sz w:val="24"/>
              </w:rPr>
              <w:t xml:space="preserve">2.1</w:t>
            </w:r>
            <w:r/>
          </w:p>
        </w:tc>
        <w:tc>
          <w:tcPr>
            <w:tcBorders>
              <w:top w:val="single" w:color="auto" w:sz="6" w:space="0"/>
              <w:left w:val="single" w:color="auto" w:sz="4" w:space="0"/>
              <w:bottom w:val="single" w:color="auto" w:sz="6" w:space="0"/>
              <w:right w:val="single" w:color="auto" w:sz="4" w:space="0"/>
            </w:tcBorders>
            <w:tcW w:w="1199" w:type="dxa"/>
            <w:vAlign w:val="center"/>
            <w:textDirection w:val="lrTb"/>
            <w:noWrap w:val="false"/>
          </w:tcPr>
          <w:p>
            <w:pPr>
              <w:jc w:val="center"/>
              <w:spacing w:line="400" w:lineRule="exact"/>
              <w:rPr>
                <w:rFonts w:cs="宋体" w:asciiTheme="minorEastAsia" w:hAnsiTheme="minorEastAsia"/>
                <w:sz w:val="24"/>
              </w:rPr>
            </w:pPr>
            <w:r>
              <w:rPr>
                <w:rFonts w:hint="eastAsia" w:cs="宋体" w:asciiTheme="minorEastAsia" w:hAnsiTheme="minorEastAsia"/>
                <w:sz w:val="24"/>
              </w:rPr>
              <w:t xml:space="preserve">技术指标响应情况</w:t>
            </w:r>
            <w:r/>
          </w:p>
        </w:tc>
        <w:tc>
          <w:tcPr>
            <w:tcBorders>
              <w:top w:val="single" w:color="auto" w:sz="6" w:space="0"/>
              <w:left w:val="single" w:color="auto" w:sz="4" w:space="0"/>
              <w:bottom w:val="single" w:color="auto" w:sz="6" w:space="0"/>
              <w:right w:val="single" w:color="auto" w:sz="4" w:space="0"/>
            </w:tcBorders>
            <w:tcW w:w="5639" w:type="dxa"/>
            <w:vAlign w:val="center"/>
            <w:textDirection w:val="lrTb"/>
            <w:noWrap w:val="false"/>
          </w:tcPr>
          <w:p>
            <w:pPr>
              <w:contextualSpacing/>
              <w:jc w:val="left"/>
              <w:spacing w:line="400" w:lineRule="exact"/>
              <w:rPr>
                <w:rFonts w:asciiTheme="minorEastAsia" w:hAnsiTheme="minorEastAsia"/>
                <w:sz w:val="24"/>
              </w:rPr>
            </w:pPr>
            <w:r>
              <w:rPr>
                <w:rFonts w:hint="eastAsia" w:asciiTheme="minorEastAsia" w:hAnsiTheme="minorEastAsia"/>
                <w:sz w:val="24"/>
              </w:rPr>
              <w:t xml:space="preserve">根据投标人对本项目功能模块技术指标要求的响应情况进行评审打分，满足招标文件全部技术要求的得20分，</w:t>
            </w:r>
            <w:r>
              <w:rPr>
                <w:rFonts w:hint="eastAsia" w:asciiTheme="minorEastAsia" w:hAnsiTheme="minorEastAsia"/>
                <w:sz w:val="24"/>
              </w:rPr>
              <w:t xml:space="preserve">其中打</w:t>
            </w:r>
            <w:r>
              <w:rPr>
                <w:rFonts w:hint="eastAsia" w:asciiTheme="minorEastAsia" w:hAnsiTheme="minorEastAsia"/>
                <w:sz w:val="24"/>
              </w:rPr>
              <w:t xml:space="preserve">“★”项为重要指标项，有一项负偏离扣1分；非打“★”项有一项负偏离扣0.5分，扣完为止。</w:t>
            </w:r>
            <w:r/>
          </w:p>
        </w:tc>
        <w:tc>
          <w:tcPr>
            <w:tcBorders>
              <w:top w:val="single" w:color="auto" w:sz="6" w:space="0"/>
              <w:left w:val="single" w:color="auto" w:sz="4" w:space="0"/>
              <w:bottom w:val="single" w:color="auto" w:sz="6" w:space="0"/>
              <w:right w:val="single" w:color="auto" w:sz="8" w:space="0"/>
            </w:tcBorders>
            <w:tcW w:w="712" w:type="dxa"/>
            <w:vAlign w:val="center"/>
            <w:textDirection w:val="lrTb"/>
            <w:noWrap w:val="false"/>
          </w:tcPr>
          <w:p>
            <w:pPr>
              <w:jc w:val="center"/>
              <w:spacing w:line="400" w:lineRule="exact"/>
              <w:rPr>
                <w:rFonts w:eastAsia="宋体" w:asciiTheme="minorEastAsia" w:hAnsiTheme="minorEastAsia"/>
                <w:sz w:val="24"/>
              </w:rPr>
            </w:pPr>
            <w:r>
              <w:rPr>
                <w:rFonts w:hint="eastAsia" w:asciiTheme="minorEastAsia" w:hAnsiTheme="minorEastAsia"/>
                <w:sz w:val="24"/>
              </w:rPr>
              <w:t xml:space="preserve">20</w:t>
            </w:r>
            <w:r/>
          </w:p>
        </w:tc>
      </w:tr>
      <w:tr>
        <w:trPr>
          <w:jc w:val="center"/>
        </w:trPr>
        <w:tc>
          <w:tcPr>
            <w:tcBorders>
              <w:top w:val="single" w:color="auto" w:sz="6" w:space="0"/>
              <w:left w:val="single" w:color="auto" w:sz="8" w:space="0"/>
              <w:bottom w:val="single" w:color="auto" w:sz="6" w:space="0"/>
              <w:right w:val="single" w:color="auto" w:sz="6" w:space="0"/>
            </w:tcBorders>
            <w:tcW w:w="1280" w:type="dxa"/>
            <w:vAlign w:val="center"/>
            <w:vMerge w:val="continue"/>
            <w:textDirection w:val="lrTb"/>
            <w:noWrap w:val="false"/>
          </w:tcPr>
          <w:p>
            <w:pPr>
              <w:jc w:val="center"/>
              <w:spacing w:line="400" w:lineRule="exact"/>
              <w:rPr>
                <w:rFonts w:asciiTheme="minorEastAsia" w:hAnsiTheme="minorEastAsia"/>
                <w:sz w:val="24"/>
              </w:rPr>
            </w:pPr>
            <w:r>
              <w:rPr>
                <w:rFonts w:asciiTheme="minorEastAsia" w:hAnsiTheme="minorEastAsia"/>
                <w:sz w:val="24"/>
              </w:rPr>
            </w:r>
            <w:r/>
          </w:p>
        </w:tc>
        <w:tc>
          <w:tcPr>
            <w:tcBorders>
              <w:top w:val="single" w:color="auto" w:sz="6" w:space="0"/>
              <w:left w:val="single" w:color="auto" w:sz="6" w:space="0"/>
              <w:bottom w:val="single" w:color="auto" w:sz="6" w:space="0"/>
              <w:right w:val="single" w:color="auto" w:sz="4" w:space="0"/>
            </w:tcBorders>
            <w:tcW w:w="798" w:type="dxa"/>
            <w:vAlign w:val="center"/>
            <w:textDirection w:val="lrTb"/>
            <w:noWrap w:val="false"/>
          </w:tcPr>
          <w:p>
            <w:pPr>
              <w:jc w:val="center"/>
              <w:spacing w:line="400" w:lineRule="exact"/>
              <w:rPr>
                <w:rFonts w:asciiTheme="minorEastAsia" w:hAnsiTheme="minorEastAsia"/>
                <w:sz w:val="24"/>
              </w:rPr>
            </w:pPr>
            <w:r>
              <w:rPr>
                <w:rFonts w:hint="eastAsia" w:asciiTheme="minorEastAsia" w:hAnsiTheme="minorEastAsia"/>
                <w:sz w:val="24"/>
              </w:rPr>
              <w:t xml:space="preserve">2.2</w:t>
            </w:r>
            <w:r/>
          </w:p>
        </w:tc>
        <w:tc>
          <w:tcPr>
            <w:tcBorders>
              <w:top w:val="single" w:color="auto" w:sz="6" w:space="0"/>
              <w:left w:val="single" w:color="auto" w:sz="4" w:space="0"/>
              <w:bottom w:val="single" w:color="auto" w:sz="6" w:space="0"/>
              <w:right w:val="single" w:color="auto" w:sz="4" w:space="0"/>
            </w:tcBorders>
            <w:tcW w:w="1199" w:type="dxa"/>
            <w:vAlign w:val="center"/>
            <w:textDirection w:val="lrTb"/>
            <w:noWrap w:val="false"/>
          </w:tcPr>
          <w:p>
            <w:pPr>
              <w:jc w:val="center"/>
              <w:spacing w:line="400" w:lineRule="exact"/>
              <w:rPr>
                <w:rFonts w:asciiTheme="minorEastAsia" w:hAnsiTheme="minorEastAsia"/>
                <w:sz w:val="24"/>
              </w:rPr>
            </w:pPr>
            <w:r>
              <w:rPr>
                <w:rFonts w:hint="eastAsia" w:asciiTheme="minorEastAsia" w:hAnsiTheme="minorEastAsia"/>
                <w:sz w:val="24"/>
              </w:rPr>
              <w:t xml:space="preserve">项目背景及需求分析</w:t>
            </w:r>
            <w:r/>
          </w:p>
        </w:tc>
        <w:tc>
          <w:tcPr>
            <w:tcBorders>
              <w:top w:val="single" w:color="auto" w:sz="6" w:space="0"/>
              <w:left w:val="single" w:color="auto" w:sz="4" w:space="0"/>
              <w:bottom w:val="single" w:color="auto" w:sz="6" w:space="0"/>
              <w:right w:val="single" w:color="auto" w:sz="4" w:space="0"/>
            </w:tcBorders>
            <w:tcW w:w="5639" w:type="dxa"/>
            <w:vAlign w:val="center"/>
            <w:textDirection w:val="lrTb"/>
            <w:noWrap w:val="false"/>
          </w:tcPr>
          <w:p>
            <w:pPr>
              <w:spacing w:line="400" w:lineRule="exact"/>
              <w:rPr>
                <w:rFonts w:cs="宋体" w:asciiTheme="minorEastAsia" w:hAnsiTheme="minorEastAsia"/>
                <w:sz w:val="24"/>
              </w:rPr>
            </w:pPr>
            <w:r>
              <w:rPr>
                <w:rFonts w:hint="eastAsia" w:cs="宋体" w:asciiTheme="minorEastAsia" w:hAnsiTheme="minorEastAsia"/>
                <w:sz w:val="24"/>
              </w:rPr>
              <w:t xml:space="preserve">投标人针对本项目提供项目背景、现状及需求分析，包括①项目背景分析、②整体需求理解、③总体技术方案，内容分析描述全面合理符合项目需求理解的得9分，每有一项内容缺失的扣3分；每有一项内容存在缺陷或不满足要求的扣1.5分，扣完为止。</w:t>
            </w:r>
            <w:r/>
          </w:p>
          <w:p>
            <w:pPr>
              <w:spacing w:line="400" w:lineRule="exact"/>
              <w:rPr>
                <w:rFonts w:cs="宋体" w:asciiTheme="minorEastAsia" w:hAnsiTheme="minorEastAsia"/>
                <w:sz w:val="24"/>
              </w:rPr>
            </w:pPr>
            <w:r>
              <w:rPr>
                <w:rFonts w:hint="eastAsia" w:asciiTheme="minorEastAsia" w:hAnsiTheme="minorEastAsia"/>
                <w:sz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6" w:space="0"/>
              <w:left w:val="single" w:color="auto" w:sz="4" w:space="0"/>
              <w:bottom w:val="single" w:color="auto" w:sz="6" w:space="0"/>
              <w:right w:val="single" w:color="auto" w:sz="8" w:space="0"/>
            </w:tcBorders>
            <w:tcW w:w="712" w:type="dxa"/>
            <w:vAlign w:val="center"/>
            <w:textDirection w:val="lrTb"/>
            <w:noWrap w:val="false"/>
          </w:tcPr>
          <w:p>
            <w:pPr>
              <w:jc w:val="center"/>
              <w:spacing w:line="400" w:lineRule="exact"/>
              <w:rPr>
                <w:rFonts w:asciiTheme="minorEastAsia" w:hAnsiTheme="minorEastAsia"/>
                <w:sz w:val="24"/>
              </w:rPr>
            </w:pPr>
            <w:r>
              <w:rPr>
                <w:rFonts w:hint="eastAsia" w:asciiTheme="minorEastAsia" w:hAnsiTheme="minorEastAsia"/>
                <w:sz w:val="24"/>
              </w:rPr>
              <w:t xml:space="preserve">9</w:t>
            </w:r>
            <w:r/>
          </w:p>
        </w:tc>
      </w:tr>
      <w:tr>
        <w:trPr>
          <w:jc w:val="center"/>
        </w:trPr>
        <w:tc>
          <w:tcPr>
            <w:tcBorders>
              <w:top w:val="single" w:color="auto" w:sz="6" w:space="0"/>
              <w:left w:val="single" w:color="auto" w:sz="8" w:space="0"/>
              <w:bottom w:val="single" w:color="auto" w:sz="6" w:space="0"/>
              <w:right w:val="single" w:color="auto" w:sz="6" w:space="0"/>
            </w:tcBorders>
            <w:tcW w:w="1280" w:type="dxa"/>
            <w:vAlign w:val="center"/>
            <w:vMerge w:val="continue"/>
            <w:textDirection w:val="lrTb"/>
            <w:noWrap w:val="false"/>
          </w:tcPr>
          <w:p>
            <w:pPr>
              <w:jc w:val="center"/>
              <w:spacing w:line="400" w:lineRule="exact"/>
              <w:widowControl/>
              <w:rPr>
                <w:rFonts w:asciiTheme="minorEastAsia" w:hAnsiTheme="minorEastAsia"/>
                <w:sz w:val="24"/>
              </w:rPr>
            </w:pPr>
            <w:r>
              <w:rPr>
                <w:rFonts w:asciiTheme="minorEastAsia" w:hAnsiTheme="minorEastAsia"/>
                <w:sz w:val="24"/>
              </w:rPr>
            </w:r>
            <w:r/>
          </w:p>
        </w:tc>
        <w:tc>
          <w:tcPr>
            <w:tcBorders>
              <w:top w:val="single" w:color="auto" w:sz="6" w:space="0"/>
              <w:left w:val="single" w:color="auto" w:sz="6" w:space="0"/>
              <w:bottom w:val="single" w:color="auto" w:sz="6" w:space="0"/>
              <w:right w:val="single" w:color="auto" w:sz="6" w:space="0"/>
            </w:tcBorders>
            <w:tcW w:w="798" w:type="dxa"/>
            <w:vAlign w:val="center"/>
            <w:textDirection w:val="lrTb"/>
            <w:noWrap w:val="false"/>
          </w:tcPr>
          <w:p>
            <w:pPr>
              <w:jc w:val="center"/>
              <w:spacing w:line="400" w:lineRule="exact"/>
              <w:rPr>
                <w:rFonts w:asciiTheme="minorEastAsia" w:hAnsiTheme="minorEastAsia"/>
                <w:sz w:val="24"/>
              </w:rPr>
            </w:pPr>
            <w:r>
              <w:rPr>
                <w:rFonts w:hint="eastAsia" w:asciiTheme="minorEastAsia" w:hAnsiTheme="minorEastAsia"/>
                <w:sz w:val="24"/>
              </w:rPr>
              <w:t xml:space="preserve">2.3</w:t>
            </w:r>
            <w:r/>
          </w:p>
        </w:tc>
        <w:tc>
          <w:tcPr>
            <w:tcBorders>
              <w:top w:val="single" w:color="auto" w:sz="6" w:space="0"/>
              <w:left w:val="single" w:color="auto" w:sz="6" w:space="0"/>
              <w:bottom w:val="single" w:color="auto" w:sz="6" w:space="0"/>
              <w:right w:val="single" w:color="auto" w:sz="6" w:space="0"/>
            </w:tcBorders>
            <w:tcW w:w="1199" w:type="dxa"/>
            <w:vAlign w:val="center"/>
            <w:textDirection w:val="lrTb"/>
            <w:noWrap w:val="false"/>
          </w:tcPr>
          <w:p>
            <w:pPr>
              <w:jc w:val="center"/>
              <w:spacing w:line="400" w:lineRule="exact"/>
              <w:rPr>
                <w:rFonts w:asciiTheme="minorEastAsia" w:hAnsiTheme="minorEastAsia"/>
                <w:sz w:val="24"/>
              </w:rPr>
            </w:pPr>
            <w:r>
              <w:rPr>
                <w:rFonts w:hint="eastAsia" w:asciiTheme="minorEastAsia" w:hAnsiTheme="minorEastAsia"/>
                <w:sz w:val="24"/>
              </w:rPr>
              <w:t xml:space="preserve">重难点分</w:t>
            </w:r>
            <w:r>
              <w:rPr>
                <w:rFonts w:hint="eastAsia" w:asciiTheme="minorEastAsia" w:hAnsiTheme="minorEastAsia"/>
                <w:sz w:val="24"/>
              </w:rPr>
              <w:t xml:space="preserve">析</w:t>
            </w:r>
            <w:r/>
          </w:p>
        </w:tc>
        <w:tc>
          <w:tcPr>
            <w:tcBorders>
              <w:top w:val="single" w:color="auto" w:sz="6" w:space="0"/>
              <w:left w:val="single" w:color="auto" w:sz="6" w:space="0"/>
              <w:bottom w:val="single" w:color="auto" w:sz="6" w:space="0"/>
              <w:right w:val="single" w:color="auto" w:sz="6" w:space="0"/>
            </w:tcBorders>
            <w:tcW w:w="5639" w:type="dxa"/>
            <w:vAlign w:val="center"/>
            <w:textDirection w:val="lrTb"/>
            <w:noWrap w:val="false"/>
          </w:tcPr>
          <w:p>
            <w:pPr>
              <w:contextualSpacing/>
              <w:jc w:val="left"/>
              <w:spacing w:line="400" w:lineRule="exact"/>
              <w:rPr>
                <w:rFonts w:cs="宋体" w:asciiTheme="minorEastAsia" w:hAnsiTheme="minorEastAsia"/>
                <w:sz w:val="24"/>
              </w:rPr>
            </w:pPr>
            <w:r>
              <w:rPr>
                <w:rFonts w:hint="eastAsia" w:cs="宋体" w:asciiTheme="minorEastAsia" w:hAnsiTheme="minorEastAsia"/>
                <w:sz w:val="24"/>
              </w:rPr>
              <w:t xml:space="preserve">投标人对本次项目在建设实施服务过程中的重难点</w:t>
            </w:r>
            <w:r>
              <w:rPr>
                <w:rFonts w:hint="eastAsia" w:cs="宋体" w:asciiTheme="minorEastAsia" w:hAnsiTheme="minorEastAsia"/>
                <w:sz w:val="24"/>
              </w:rPr>
              <w:t xml:space="preserve">进行分析，并提出应对方案，包括但不限于①标准规范的遵循与建设、②新老系统切换与数据继承、③其他特殊情况分析及解决方案等。内容分析全面、合理符合采购需求的得6分，每有一项内容缺失的扣2分；每有一项内容存在缺陷或不满足要求的扣1分，扣完为止。</w:t>
            </w:r>
            <w:r/>
          </w:p>
          <w:p>
            <w:pPr>
              <w:contextualSpacing/>
              <w:jc w:val="left"/>
              <w:spacing w:line="400" w:lineRule="exact"/>
              <w:rPr>
                <w:rFonts w:cs="宋体" w:asciiTheme="minorEastAsia" w:hAnsiTheme="minorEastAsia"/>
                <w:sz w:val="24"/>
              </w:rPr>
            </w:pPr>
            <w:r>
              <w:rPr>
                <w:rFonts w:hint="eastAsia" w:asciiTheme="minorEastAsia" w:hAnsiTheme="minorEastAsia"/>
                <w:sz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6" w:space="0"/>
              <w:left w:val="single" w:color="auto" w:sz="6" w:space="0"/>
              <w:bottom w:val="single" w:color="auto" w:sz="6" w:space="0"/>
              <w:right w:val="single" w:color="auto" w:sz="8" w:space="0"/>
            </w:tcBorders>
            <w:tcW w:w="712" w:type="dxa"/>
            <w:vAlign w:val="center"/>
            <w:textDirection w:val="lrTb"/>
            <w:noWrap w:val="false"/>
          </w:tcPr>
          <w:p>
            <w:pPr>
              <w:jc w:val="center"/>
              <w:spacing w:line="400" w:lineRule="exact"/>
              <w:rPr>
                <w:rFonts w:asciiTheme="minorEastAsia" w:hAnsiTheme="minorEastAsia"/>
                <w:sz w:val="24"/>
              </w:rPr>
            </w:pPr>
            <w:r>
              <w:rPr>
                <w:rFonts w:hint="eastAsia" w:asciiTheme="minorEastAsia" w:hAnsiTheme="minorEastAsia"/>
                <w:sz w:val="24"/>
              </w:rPr>
              <w:t xml:space="preserve">6</w:t>
            </w:r>
            <w:r/>
          </w:p>
        </w:tc>
      </w:tr>
      <w:tr>
        <w:trPr>
          <w:jc w:val="center"/>
        </w:trPr>
        <w:tc>
          <w:tcPr>
            <w:tcBorders>
              <w:top w:val="single" w:color="auto" w:sz="6" w:space="0"/>
              <w:left w:val="single" w:color="auto" w:sz="8" w:space="0"/>
              <w:bottom w:val="single" w:color="auto" w:sz="6" w:space="0"/>
              <w:right w:val="single" w:color="auto" w:sz="6" w:space="0"/>
            </w:tcBorders>
            <w:tcW w:w="1280" w:type="dxa"/>
            <w:vAlign w:val="center"/>
            <w:vMerge w:val="continue"/>
            <w:textDirection w:val="lrTb"/>
            <w:noWrap w:val="false"/>
          </w:tcPr>
          <w:p>
            <w:pPr>
              <w:jc w:val="center"/>
              <w:spacing w:line="400" w:lineRule="exact"/>
              <w:widowControl/>
              <w:rPr>
                <w:rFonts w:asciiTheme="minorEastAsia" w:hAnsiTheme="minorEastAsia"/>
                <w:sz w:val="24"/>
              </w:rPr>
            </w:pPr>
            <w:r>
              <w:rPr>
                <w:rFonts w:asciiTheme="minorEastAsia" w:hAnsiTheme="minorEastAsia"/>
                <w:sz w:val="24"/>
              </w:rPr>
            </w:r>
            <w:r/>
          </w:p>
        </w:tc>
        <w:tc>
          <w:tcPr>
            <w:tcBorders>
              <w:top w:val="single" w:color="auto" w:sz="6" w:space="0"/>
              <w:left w:val="single" w:color="auto" w:sz="6" w:space="0"/>
              <w:bottom w:val="single" w:color="auto" w:sz="6" w:space="0"/>
              <w:right w:val="single" w:color="auto" w:sz="6" w:space="0"/>
            </w:tcBorders>
            <w:tcW w:w="798" w:type="dxa"/>
            <w:vAlign w:val="center"/>
            <w:textDirection w:val="lrTb"/>
            <w:noWrap w:val="false"/>
          </w:tcPr>
          <w:p>
            <w:pPr>
              <w:jc w:val="center"/>
              <w:spacing w:line="400" w:lineRule="exact"/>
              <w:rPr>
                <w:rFonts w:asciiTheme="minorEastAsia" w:hAnsiTheme="minorEastAsia"/>
                <w:sz w:val="24"/>
              </w:rPr>
            </w:pPr>
            <w:r>
              <w:rPr>
                <w:rFonts w:hint="eastAsia" w:asciiTheme="minorEastAsia" w:hAnsiTheme="minorEastAsia"/>
                <w:sz w:val="24"/>
              </w:rPr>
              <w:t xml:space="preserve">2.4</w:t>
            </w:r>
            <w:r/>
          </w:p>
        </w:tc>
        <w:tc>
          <w:tcPr>
            <w:tcBorders>
              <w:top w:val="single" w:color="auto" w:sz="6" w:space="0"/>
              <w:left w:val="single" w:color="auto" w:sz="6" w:space="0"/>
              <w:bottom w:val="single" w:color="auto" w:sz="6" w:space="0"/>
              <w:right w:val="single" w:color="auto" w:sz="6" w:space="0"/>
            </w:tcBorders>
            <w:tcW w:w="1199" w:type="dxa"/>
            <w:vAlign w:val="center"/>
            <w:textDirection w:val="lrTb"/>
            <w:noWrap w:val="false"/>
          </w:tcPr>
          <w:p>
            <w:pPr>
              <w:jc w:val="center"/>
              <w:spacing w:line="400" w:lineRule="exact"/>
              <w:rPr>
                <w:rFonts w:asciiTheme="minorEastAsia" w:hAnsiTheme="minorEastAsia"/>
                <w:sz w:val="24"/>
              </w:rPr>
            </w:pPr>
            <w:r>
              <w:rPr>
                <w:rFonts w:asciiTheme="minorEastAsia" w:hAnsiTheme="minorEastAsia"/>
                <w:sz w:val="24"/>
              </w:rPr>
              <w:t xml:space="preserve">实施方案</w:t>
            </w:r>
            <w:r/>
          </w:p>
        </w:tc>
        <w:tc>
          <w:tcPr>
            <w:tcBorders>
              <w:top w:val="single" w:color="auto" w:sz="6" w:space="0"/>
              <w:left w:val="single" w:color="auto" w:sz="6" w:space="0"/>
              <w:bottom w:val="single" w:color="auto" w:sz="6" w:space="0"/>
              <w:right w:val="single" w:color="auto" w:sz="6" w:space="0"/>
            </w:tcBorders>
            <w:tcW w:w="5639" w:type="dxa"/>
            <w:vAlign w:val="center"/>
            <w:textDirection w:val="lrTb"/>
            <w:noWrap w:val="false"/>
          </w:tcPr>
          <w:p>
            <w:pPr>
              <w:spacing w:line="400" w:lineRule="exact"/>
              <w:rPr>
                <w:rFonts w:cs="宋体" w:asciiTheme="minorEastAsia" w:hAnsiTheme="minorEastAsia"/>
                <w:sz w:val="24"/>
              </w:rPr>
            </w:pPr>
            <w:r>
              <w:rPr>
                <w:rFonts w:hint="eastAsia" w:cs="宋体" w:asciiTheme="minorEastAsia" w:hAnsiTheme="minorEastAsia"/>
                <w:sz w:val="24"/>
              </w:rPr>
              <w:t xml:space="preserve">投标人针对本项目提供</w:t>
            </w:r>
            <w:r>
              <w:rPr>
                <w:rFonts w:asciiTheme="minorEastAsia" w:hAnsiTheme="minorEastAsia"/>
                <w:sz w:val="24"/>
              </w:rPr>
              <w:t xml:space="preserve">实施方案</w:t>
            </w:r>
            <w:r>
              <w:rPr>
                <w:rFonts w:hint="eastAsia" w:cs="宋体" w:asciiTheme="minorEastAsia" w:hAnsiTheme="minorEastAsia"/>
                <w:sz w:val="24"/>
              </w:rPr>
              <w:t xml:space="preserve">，包括①</w:t>
            </w:r>
            <w:r>
              <w:rPr>
                <w:rFonts w:hint="eastAsia" w:asciiTheme="minorEastAsia" w:hAnsiTheme="minorEastAsia"/>
                <w:sz w:val="24"/>
              </w:rPr>
              <w:t xml:space="preserve">质量保证措施</w:t>
            </w:r>
            <w:r>
              <w:rPr>
                <w:rFonts w:hint="eastAsia" w:cs="宋体" w:asciiTheme="minorEastAsia" w:hAnsiTheme="minorEastAsia"/>
                <w:sz w:val="24"/>
              </w:rPr>
              <w:t xml:space="preserve">、②</w:t>
            </w:r>
            <w:r>
              <w:rPr>
                <w:rFonts w:hint="eastAsia" w:asciiTheme="minorEastAsia" w:hAnsiTheme="minorEastAsia"/>
                <w:sz w:val="24"/>
              </w:rPr>
              <w:t xml:space="preserve">进度计划安排</w:t>
            </w:r>
            <w:r>
              <w:rPr>
                <w:rFonts w:hint="eastAsia" w:cs="宋体" w:asciiTheme="minorEastAsia" w:hAnsiTheme="minorEastAsia"/>
                <w:sz w:val="24"/>
              </w:rPr>
              <w:t xml:space="preserve">、③项目管理方案、④</w:t>
            </w:r>
            <w:r>
              <w:rPr>
                <w:rFonts w:hint="eastAsia" w:asciiTheme="minorEastAsia" w:hAnsiTheme="minorEastAsia"/>
                <w:sz w:val="24"/>
              </w:rPr>
              <w:t xml:space="preserve">风险控制方案、⑤</w:t>
            </w:r>
            <w:r>
              <w:rPr>
                <w:rFonts w:hint="eastAsia" w:cs="宋体" w:asciiTheme="minorEastAsia" w:hAnsiTheme="minorEastAsia"/>
                <w:sz w:val="24"/>
              </w:rPr>
              <w:t xml:space="preserve">培训方案</w:t>
            </w:r>
            <w:r>
              <w:rPr>
                <w:rFonts w:hint="eastAsia" w:asciiTheme="minorEastAsia" w:hAnsiTheme="minorEastAsia"/>
                <w:sz w:val="24"/>
              </w:rPr>
              <w:t xml:space="preserve">，</w:t>
            </w:r>
            <w:r>
              <w:rPr>
                <w:rFonts w:hint="eastAsia" w:cs="宋体" w:asciiTheme="minorEastAsia" w:hAnsiTheme="minorEastAsia"/>
                <w:sz w:val="24"/>
              </w:rPr>
              <w:t xml:space="preserve">方案内容描述全面合理符合采购需求的得10分，每有一项内容缺失的扣2分；每有一项内容存在缺陷或不满足要求的扣1分，扣完为止。</w:t>
            </w:r>
            <w:r/>
          </w:p>
          <w:p>
            <w:pPr>
              <w:jc w:val="left"/>
              <w:spacing w:line="400" w:lineRule="exact"/>
              <w:rPr>
                <w:rFonts w:asciiTheme="minorEastAsia" w:hAnsiTheme="minorEastAsia"/>
                <w:bCs/>
                <w:sz w:val="24"/>
              </w:rPr>
            </w:pPr>
            <w:r>
              <w:rPr>
                <w:rFonts w:hint="eastAsia" w:asciiTheme="minorEastAsia" w:hAnsiTheme="minorEastAsia"/>
                <w:sz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6" w:space="0"/>
              <w:left w:val="single" w:color="auto" w:sz="6" w:space="0"/>
              <w:bottom w:val="single" w:color="auto" w:sz="6" w:space="0"/>
              <w:right w:val="single" w:color="auto" w:sz="8" w:space="0"/>
            </w:tcBorders>
            <w:tcW w:w="712" w:type="dxa"/>
            <w:vAlign w:val="center"/>
            <w:textDirection w:val="lrTb"/>
            <w:noWrap w:val="false"/>
          </w:tcPr>
          <w:p>
            <w:pPr>
              <w:jc w:val="center"/>
              <w:spacing w:line="400" w:lineRule="exact"/>
              <w:rPr>
                <w:rFonts w:asciiTheme="minorEastAsia" w:hAnsiTheme="minorEastAsia"/>
                <w:sz w:val="24"/>
              </w:rPr>
            </w:pPr>
            <w:r>
              <w:rPr>
                <w:rFonts w:hint="eastAsia" w:asciiTheme="minorEastAsia" w:hAnsiTheme="minorEastAsia"/>
                <w:sz w:val="24"/>
              </w:rPr>
              <w:t xml:space="preserve">10</w:t>
            </w:r>
            <w:r/>
          </w:p>
        </w:tc>
      </w:tr>
      <w:tr>
        <w:trPr>
          <w:jc w:val="center"/>
        </w:trPr>
        <w:tc>
          <w:tcPr>
            <w:tcBorders>
              <w:top w:val="single" w:color="auto" w:sz="6" w:space="0"/>
              <w:left w:val="single" w:color="auto" w:sz="8" w:space="0"/>
              <w:bottom w:val="single" w:color="auto" w:sz="6" w:space="0"/>
              <w:right w:val="single" w:color="auto" w:sz="6" w:space="0"/>
            </w:tcBorders>
            <w:tcW w:w="1280" w:type="dxa"/>
            <w:vAlign w:val="center"/>
            <w:vMerge w:val="continue"/>
            <w:textDirection w:val="lrTb"/>
            <w:noWrap w:val="false"/>
          </w:tcPr>
          <w:p>
            <w:pPr>
              <w:jc w:val="center"/>
              <w:spacing w:line="400" w:lineRule="exact"/>
              <w:widowControl/>
              <w:rPr>
                <w:rFonts w:asciiTheme="minorEastAsia" w:hAnsiTheme="minorEastAsia"/>
                <w:sz w:val="24"/>
              </w:rPr>
            </w:pPr>
            <w:r>
              <w:rPr>
                <w:rFonts w:asciiTheme="minorEastAsia" w:hAnsiTheme="minorEastAsia"/>
                <w:sz w:val="24"/>
              </w:rPr>
            </w:r>
            <w:r/>
          </w:p>
        </w:tc>
        <w:tc>
          <w:tcPr>
            <w:tcBorders>
              <w:top w:val="single" w:color="auto" w:sz="6" w:space="0"/>
              <w:left w:val="single" w:color="auto" w:sz="6" w:space="0"/>
              <w:bottom w:val="single" w:color="auto" w:sz="6" w:space="0"/>
              <w:right w:val="single" w:color="auto" w:sz="6" w:space="0"/>
            </w:tcBorders>
            <w:tcW w:w="798" w:type="dxa"/>
            <w:vAlign w:val="center"/>
            <w:textDirection w:val="lrTb"/>
            <w:noWrap w:val="false"/>
          </w:tcPr>
          <w:p>
            <w:pPr>
              <w:jc w:val="center"/>
              <w:spacing w:line="400" w:lineRule="exact"/>
              <w:rPr>
                <w:rFonts w:asciiTheme="minorEastAsia" w:hAnsiTheme="minorEastAsia"/>
                <w:sz w:val="24"/>
              </w:rPr>
            </w:pPr>
            <w:r>
              <w:rPr>
                <w:rFonts w:hint="eastAsia" w:asciiTheme="minorEastAsia" w:hAnsiTheme="minorEastAsia"/>
                <w:sz w:val="24"/>
              </w:rPr>
              <w:t xml:space="preserve">2.5</w:t>
            </w:r>
            <w:r/>
          </w:p>
        </w:tc>
        <w:tc>
          <w:tcPr>
            <w:tcBorders>
              <w:top w:val="single" w:color="auto" w:sz="6" w:space="0"/>
              <w:left w:val="single" w:color="auto" w:sz="6" w:space="0"/>
              <w:bottom w:val="single" w:color="auto" w:sz="6" w:space="0"/>
              <w:right w:val="single" w:color="auto" w:sz="6" w:space="0"/>
            </w:tcBorders>
            <w:tcW w:w="1199" w:type="dxa"/>
            <w:vAlign w:val="center"/>
            <w:textDirection w:val="lrTb"/>
            <w:noWrap w:val="false"/>
          </w:tcPr>
          <w:p>
            <w:pPr>
              <w:jc w:val="center"/>
              <w:spacing w:line="400" w:lineRule="exact"/>
              <w:rPr>
                <w:rFonts w:asciiTheme="minorEastAsia" w:hAnsiTheme="minorEastAsia"/>
                <w:sz w:val="24"/>
              </w:rPr>
            </w:pPr>
            <w:r>
              <w:rPr>
                <w:rFonts w:hint="eastAsia" w:cs="宋体" w:asciiTheme="minorEastAsia" w:hAnsiTheme="minorEastAsia"/>
                <w:sz w:val="24"/>
              </w:rPr>
              <w:t xml:space="preserve">系统安全方案</w:t>
            </w:r>
            <w:r/>
          </w:p>
        </w:tc>
        <w:tc>
          <w:tcPr>
            <w:tcBorders>
              <w:top w:val="single" w:color="auto" w:sz="6" w:space="0"/>
              <w:left w:val="single" w:color="auto" w:sz="6" w:space="0"/>
              <w:bottom w:val="single" w:color="auto" w:sz="6" w:space="0"/>
              <w:right w:val="single" w:color="auto" w:sz="6" w:space="0"/>
            </w:tcBorders>
            <w:tcW w:w="5639" w:type="dxa"/>
            <w:vAlign w:val="center"/>
            <w:textDirection w:val="lrTb"/>
            <w:noWrap w:val="false"/>
          </w:tcPr>
          <w:p>
            <w:pPr>
              <w:spacing w:line="400" w:lineRule="exact"/>
              <w:rPr>
                <w:rFonts w:cs="宋体" w:asciiTheme="minorEastAsia" w:hAnsiTheme="minorEastAsia"/>
                <w:sz w:val="24"/>
              </w:rPr>
            </w:pPr>
            <w:r>
              <w:rPr>
                <w:rFonts w:hint="eastAsia" w:cs="宋体" w:asciiTheme="minorEastAsia" w:hAnsiTheme="minorEastAsia"/>
                <w:sz w:val="24"/>
              </w:rPr>
              <w:t xml:space="preserve">投标人针对本项目提供</w:t>
            </w:r>
            <w:r>
              <w:rPr>
                <w:rFonts w:hint="eastAsia" w:asciiTheme="minorEastAsia" w:hAnsiTheme="minorEastAsia"/>
                <w:sz w:val="24"/>
              </w:rPr>
              <w:t xml:space="preserve">系统安全方案</w:t>
            </w:r>
            <w:r>
              <w:rPr>
                <w:rFonts w:hint="eastAsia" w:cs="宋体" w:asciiTheme="minorEastAsia" w:hAnsiTheme="minorEastAsia"/>
                <w:sz w:val="24"/>
              </w:rPr>
              <w:t xml:space="preserve">，包括①物理安全、②</w:t>
            </w:r>
            <w:r>
              <w:rPr>
                <w:rFonts w:hint="eastAsia" w:asciiTheme="minorEastAsia" w:hAnsiTheme="minorEastAsia"/>
                <w:sz w:val="24"/>
              </w:rPr>
              <w:t xml:space="preserve">网络安全</w:t>
            </w:r>
            <w:r>
              <w:rPr>
                <w:rFonts w:hint="eastAsia" w:cs="宋体" w:asciiTheme="minorEastAsia" w:hAnsiTheme="minorEastAsia"/>
                <w:sz w:val="24"/>
              </w:rPr>
              <w:t xml:space="preserve">、③</w:t>
            </w:r>
            <w:r>
              <w:rPr>
                <w:rFonts w:hint="eastAsia" w:asciiTheme="minorEastAsia" w:hAnsiTheme="minorEastAsia"/>
                <w:sz w:val="24"/>
              </w:rPr>
              <w:t xml:space="preserve">应用安全</w:t>
            </w:r>
            <w:r>
              <w:rPr>
                <w:rFonts w:hint="eastAsia" w:cs="宋体" w:asciiTheme="minorEastAsia" w:hAnsiTheme="minorEastAsia"/>
                <w:sz w:val="24"/>
              </w:rPr>
              <w:t xml:space="preserve">、④</w:t>
            </w:r>
            <w:r>
              <w:rPr>
                <w:rFonts w:hint="eastAsia" w:asciiTheme="minorEastAsia" w:hAnsiTheme="minorEastAsia"/>
                <w:sz w:val="24"/>
              </w:rPr>
              <w:t xml:space="preserve">数据安全</w:t>
            </w:r>
            <w:r>
              <w:rPr>
                <w:rFonts w:asciiTheme="minorEastAsia" w:hAnsiTheme="minorEastAsia"/>
                <w:sz w:val="24"/>
              </w:rPr>
              <w:t xml:space="preserve">、</w:t>
            </w:r>
            <w:r>
              <w:rPr>
                <w:rFonts w:hint="eastAsia" w:asciiTheme="minorEastAsia" w:hAnsiTheme="minorEastAsia"/>
                <w:sz w:val="24"/>
              </w:rPr>
              <w:t xml:space="preserve">⑤终端安全，方案内容描述全面合理符合采购需求的得5</w:t>
            </w:r>
            <w:r>
              <w:rPr>
                <w:rFonts w:hint="eastAsia" w:cs="宋体" w:asciiTheme="minorEastAsia" w:hAnsiTheme="minorEastAsia"/>
                <w:sz w:val="24"/>
              </w:rPr>
              <w:t xml:space="preserve">分，每有一项内容缺失的扣1分；每有一项内容存在缺陷或不满足要求的扣0.5分，扣完为止。</w:t>
            </w:r>
            <w:r/>
          </w:p>
          <w:p>
            <w:pPr>
              <w:spacing w:line="400" w:lineRule="exact"/>
              <w:rPr>
                <w:rFonts w:cs="宋体" w:asciiTheme="minorEastAsia" w:hAnsiTheme="minorEastAsia"/>
                <w:sz w:val="24"/>
              </w:rPr>
            </w:pPr>
            <w:r>
              <w:rPr>
                <w:rFonts w:hint="eastAsia" w:asciiTheme="minorEastAsia" w:hAnsiTheme="minorEastAsia"/>
                <w:sz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6" w:space="0"/>
              <w:left w:val="single" w:color="auto" w:sz="6" w:space="0"/>
              <w:bottom w:val="single" w:color="auto" w:sz="6" w:space="0"/>
              <w:right w:val="single" w:color="auto" w:sz="8" w:space="0"/>
            </w:tcBorders>
            <w:tcW w:w="712" w:type="dxa"/>
            <w:vAlign w:val="center"/>
            <w:textDirection w:val="lrTb"/>
            <w:noWrap w:val="false"/>
          </w:tcPr>
          <w:p>
            <w:pPr>
              <w:jc w:val="center"/>
              <w:spacing w:line="400" w:lineRule="exact"/>
              <w:rPr>
                <w:rFonts w:eastAsia="宋体" w:asciiTheme="minorEastAsia" w:hAnsiTheme="minorEastAsia"/>
                <w:sz w:val="24"/>
              </w:rPr>
            </w:pPr>
            <w:r>
              <w:rPr>
                <w:rFonts w:hint="eastAsia" w:asciiTheme="minorEastAsia" w:hAnsiTheme="minorEastAsia"/>
                <w:sz w:val="24"/>
              </w:rPr>
              <w:t xml:space="preserve">5</w:t>
            </w:r>
            <w:r/>
          </w:p>
        </w:tc>
      </w:tr>
      <w:tr>
        <w:trPr>
          <w:jc w:val="center"/>
        </w:trPr>
        <w:tc>
          <w:tcPr>
            <w:tcBorders>
              <w:top w:val="single" w:color="auto" w:sz="6" w:space="0"/>
              <w:left w:val="single" w:color="auto" w:sz="8" w:space="0"/>
              <w:bottom w:val="single" w:color="auto" w:sz="6" w:space="0"/>
              <w:right w:val="single" w:color="auto" w:sz="6" w:space="0"/>
            </w:tcBorders>
            <w:tcW w:w="1280" w:type="dxa"/>
            <w:vAlign w:val="center"/>
            <w:vMerge w:val="continue"/>
            <w:textDirection w:val="lrTb"/>
            <w:noWrap w:val="false"/>
          </w:tcPr>
          <w:p>
            <w:pPr>
              <w:jc w:val="center"/>
              <w:spacing w:line="400" w:lineRule="exact"/>
              <w:widowControl/>
              <w:rPr>
                <w:rFonts w:asciiTheme="minorEastAsia" w:hAnsiTheme="minorEastAsia"/>
                <w:sz w:val="24"/>
              </w:rPr>
            </w:pPr>
            <w:r>
              <w:rPr>
                <w:rFonts w:asciiTheme="minorEastAsia" w:hAnsiTheme="minorEastAsia"/>
                <w:sz w:val="24"/>
              </w:rPr>
            </w:r>
            <w:r/>
          </w:p>
        </w:tc>
        <w:tc>
          <w:tcPr>
            <w:tcBorders>
              <w:top w:val="single" w:color="auto" w:sz="6" w:space="0"/>
              <w:left w:val="single" w:color="auto" w:sz="6" w:space="0"/>
              <w:bottom w:val="single" w:color="auto" w:sz="6" w:space="0"/>
              <w:right w:val="single" w:color="auto" w:sz="6" w:space="0"/>
            </w:tcBorders>
            <w:tcW w:w="798" w:type="dxa"/>
            <w:vAlign w:val="center"/>
            <w:textDirection w:val="lrTb"/>
            <w:noWrap w:val="false"/>
          </w:tcPr>
          <w:p>
            <w:pPr>
              <w:jc w:val="center"/>
              <w:spacing w:line="400" w:lineRule="exact"/>
              <w:rPr>
                <w:rFonts w:asciiTheme="minorEastAsia" w:hAnsiTheme="minorEastAsia"/>
                <w:sz w:val="24"/>
              </w:rPr>
            </w:pPr>
            <w:r>
              <w:rPr>
                <w:rFonts w:hint="eastAsia" w:asciiTheme="minorEastAsia" w:hAnsiTheme="minorEastAsia"/>
                <w:sz w:val="24"/>
              </w:rPr>
              <w:t xml:space="preserve">2.6</w:t>
            </w:r>
            <w:r/>
          </w:p>
        </w:tc>
        <w:tc>
          <w:tcPr>
            <w:tcBorders>
              <w:top w:val="single" w:color="auto" w:sz="6" w:space="0"/>
              <w:left w:val="single" w:color="auto" w:sz="6" w:space="0"/>
              <w:bottom w:val="single" w:color="auto" w:sz="6" w:space="0"/>
              <w:right w:val="single" w:color="auto" w:sz="6" w:space="0"/>
            </w:tcBorders>
            <w:tcW w:w="1199" w:type="dxa"/>
            <w:vAlign w:val="center"/>
            <w:textDirection w:val="lrTb"/>
            <w:noWrap w:val="false"/>
          </w:tcPr>
          <w:p>
            <w:pPr>
              <w:jc w:val="center"/>
              <w:spacing w:line="400" w:lineRule="exact"/>
              <w:rPr>
                <w:rFonts w:asciiTheme="minorEastAsia" w:hAnsiTheme="minorEastAsia"/>
                <w:sz w:val="24"/>
              </w:rPr>
            </w:pPr>
            <w:r>
              <w:rPr>
                <w:rFonts w:hint="eastAsia" w:asciiTheme="minorEastAsia" w:hAnsiTheme="minorEastAsia"/>
                <w:sz w:val="24"/>
              </w:rPr>
              <w:t xml:space="preserve">售后服务方案</w:t>
            </w:r>
            <w:r/>
          </w:p>
        </w:tc>
        <w:tc>
          <w:tcPr>
            <w:tcBorders>
              <w:top w:val="single" w:color="auto" w:sz="6" w:space="0"/>
              <w:left w:val="single" w:color="auto" w:sz="6" w:space="0"/>
              <w:bottom w:val="single" w:color="auto" w:sz="6" w:space="0"/>
              <w:right w:val="single" w:color="auto" w:sz="6" w:space="0"/>
            </w:tcBorders>
            <w:tcW w:w="5639" w:type="dxa"/>
            <w:vAlign w:val="center"/>
            <w:textDirection w:val="lrTb"/>
            <w:noWrap w:val="false"/>
          </w:tcPr>
          <w:p>
            <w:pPr>
              <w:spacing w:line="400" w:lineRule="exact"/>
              <w:rPr>
                <w:rFonts w:cs="宋体" w:asciiTheme="minorEastAsia" w:hAnsiTheme="minorEastAsia"/>
                <w:sz w:val="24"/>
              </w:rPr>
            </w:pPr>
            <w:r>
              <w:rPr>
                <w:rFonts w:hint="eastAsia" w:cs="宋体" w:asciiTheme="minorEastAsia" w:hAnsiTheme="minorEastAsia"/>
                <w:sz w:val="24"/>
              </w:rPr>
              <w:t xml:space="preserve">投标人针对本项目提供</w:t>
            </w:r>
            <w:r>
              <w:rPr>
                <w:rFonts w:asciiTheme="minorEastAsia" w:hAnsiTheme="minorEastAsia"/>
                <w:sz w:val="24"/>
              </w:rPr>
              <w:t xml:space="preserve">售后服务方案</w:t>
            </w:r>
            <w:r>
              <w:rPr>
                <w:rFonts w:hint="eastAsia" w:cs="宋体" w:asciiTheme="minorEastAsia" w:hAnsiTheme="minorEastAsia"/>
                <w:sz w:val="24"/>
              </w:rPr>
              <w:t xml:space="preserve">，包括①售后服务内容、②</w:t>
            </w:r>
            <w:r>
              <w:rPr>
                <w:rFonts w:asciiTheme="minorEastAsia" w:hAnsiTheme="minorEastAsia"/>
                <w:sz w:val="24"/>
              </w:rPr>
              <w:t xml:space="preserve">售后</w:t>
            </w:r>
            <w:r>
              <w:rPr>
                <w:rFonts w:hint="eastAsia" w:asciiTheme="minorEastAsia" w:hAnsiTheme="minorEastAsia"/>
                <w:sz w:val="24"/>
              </w:rPr>
              <w:t xml:space="preserve">服务</w:t>
            </w:r>
            <w:r>
              <w:rPr>
                <w:rFonts w:asciiTheme="minorEastAsia" w:hAnsiTheme="minorEastAsia"/>
                <w:sz w:val="24"/>
              </w:rPr>
              <w:t xml:space="preserve">人员</w:t>
            </w:r>
            <w:r>
              <w:rPr>
                <w:rFonts w:hint="eastAsia" w:cs="宋体" w:asciiTheme="minorEastAsia" w:hAnsiTheme="minorEastAsia"/>
                <w:sz w:val="24"/>
              </w:rPr>
              <w:t xml:space="preserve">、③</w:t>
            </w:r>
            <w:r>
              <w:rPr>
                <w:rFonts w:asciiTheme="minorEastAsia" w:hAnsiTheme="minorEastAsia"/>
                <w:sz w:val="24"/>
              </w:rPr>
              <w:t xml:space="preserve">售后服务保障措施</w:t>
            </w:r>
            <w:r>
              <w:rPr>
                <w:rFonts w:hint="eastAsia" w:asciiTheme="minorEastAsia" w:hAnsiTheme="minorEastAsia"/>
                <w:sz w:val="24"/>
              </w:rPr>
              <w:t xml:space="preserve">和方式</w:t>
            </w:r>
            <w:r>
              <w:rPr>
                <w:rFonts w:hint="eastAsia" w:cs="宋体" w:asciiTheme="minorEastAsia" w:hAnsiTheme="minorEastAsia"/>
                <w:sz w:val="24"/>
              </w:rPr>
              <w:t xml:space="preserve">、④</w:t>
            </w:r>
            <w:r>
              <w:rPr>
                <w:rFonts w:asciiTheme="minorEastAsia" w:hAnsiTheme="minorEastAsia"/>
                <w:sz w:val="24"/>
              </w:rPr>
              <w:t xml:space="preserve">故障维修、</w:t>
            </w:r>
            <w:r>
              <w:rPr>
                <w:rFonts w:hint="eastAsia" w:asciiTheme="minorEastAsia" w:hAnsiTheme="minorEastAsia"/>
                <w:sz w:val="24"/>
              </w:rPr>
              <w:t xml:space="preserve">⑤</w:t>
            </w:r>
            <w:r>
              <w:rPr>
                <w:rFonts w:asciiTheme="minorEastAsia" w:hAnsiTheme="minorEastAsia"/>
                <w:sz w:val="24"/>
              </w:rPr>
              <w:t xml:space="preserve">其他应急措施</w:t>
            </w:r>
            <w:r>
              <w:rPr>
                <w:rFonts w:hint="eastAsia" w:asciiTheme="minorEastAsia" w:hAnsiTheme="minorEastAsia"/>
                <w:sz w:val="24"/>
              </w:rPr>
              <w:t xml:space="preserve">，</w:t>
            </w:r>
            <w:r>
              <w:rPr>
                <w:rFonts w:hint="eastAsia" w:cs="宋体" w:asciiTheme="minorEastAsia" w:hAnsiTheme="minorEastAsia"/>
                <w:sz w:val="24"/>
              </w:rPr>
              <w:t xml:space="preserve">方案内容描述全面合理符合采购需求的得10分，每有一项内容缺失的扣2分；每有一项内容存在缺陷或不满足要求的扣1分，扣完为止。</w:t>
            </w:r>
            <w:r/>
          </w:p>
          <w:p>
            <w:pPr>
              <w:jc w:val="left"/>
              <w:spacing w:line="400" w:lineRule="exact"/>
              <w:rPr>
                <w:rFonts w:asciiTheme="minorEastAsia" w:hAnsiTheme="minorEastAsia"/>
                <w:sz w:val="24"/>
              </w:rPr>
            </w:pPr>
            <w:r>
              <w:rPr>
                <w:rFonts w:hint="eastAsia" w:asciiTheme="minorEastAsia" w:hAnsiTheme="minorEastAsia"/>
                <w:sz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6" w:space="0"/>
              <w:left w:val="single" w:color="auto" w:sz="6" w:space="0"/>
              <w:bottom w:val="single" w:color="auto" w:sz="6" w:space="0"/>
              <w:right w:val="single" w:color="auto" w:sz="8" w:space="0"/>
            </w:tcBorders>
            <w:tcW w:w="712" w:type="dxa"/>
            <w:vAlign w:val="center"/>
            <w:textDirection w:val="lrTb"/>
            <w:noWrap w:val="false"/>
          </w:tcPr>
          <w:p>
            <w:pPr>
              <w:jc w:val="center"/>
              <w:spacing w:line="400" w:lineRule="exact"/>
              <w:rPr>
                <w:rFonts w:eastAsia="宋体" w:asciiTheme="minorEastAsia" w:hAnsiTheme="minorEastAsia"/>
                <w:sz w:val="24"/>
              </w:rPr>
            </w:pPr>
            <w:r>
              <w:rPr>
                <w:rFonts w:hint="eastAsia" w:asciiTheme="minorEastAsia" w:hAnsiTheme="minorEastAsia"/>
                <w:sz w:val="24"/>
              </w:rPr>
              <w:t xml:space="preserve">10</w:t>
            </w:r>
            <w:r/>
          </w:p>
        </w:tc>
      </w:tr>
      <w:tr>
        <w:trPr>
          <w:jc w:val="center"/>
        </w:trPr>
        <w:tc>
          <w:tcPr>
            <w:tcBorders>
              <w:top w:val="single" w:color="auto" w:sz="6" w:space="0"/>
              <w:left w:val="single" w:color="auto" w:sz="8" w:space="0"/>
              <w:right w:val="single" w:color="auto" w:sz="6" w:space="0"/>
            </w:tcBorders>
            <w:tcW w:w="1280" w:type="dxa"/>
            <w:vAlign w:val="center"/>
            <w:vMerge w:val="restart"/>
            <w:textDirection w:val="lrTb"/>
            <w:noWrap w:val="false"/>
          </w:tcPr>
          <w:p>
            <w:pPr>
              <w:jc w:val="center"/>
              <w:spacing w:line="400" w:lineRule="exact"/>
              <w:rPr>
                <w:rFonts w:asciiTheme="minorEastAsia" w:hAnsiTheme="minorEastAsia"/>
                <w:sz w:val="24"/>
              </w:rPr>
            </w:pPr>
            <w:r>
              <w:rPr>
                <w:rFonts w:hint="eastAsia" w:asciiTheme="minorEastAsia" w:hAnsiTheme="minorEastAsia"/>
                <w:sz w:val="24"/>
              </w:rPr>
              <w:t xml:space="preserve">三、商务部分</w:t>
            </w:r>
            <w:r/>
          </w:p>
          <w:p>
            <w:pPr>
              <w:jc w:val="center"/>
              <w:spacing w:line="400" w:lineRule="exact"/>
              <w:rPr>
                <w:rFonts w:asciiTheme="minorEastAsia" w:hAnsiTheme="minorEastAsia"/>
                <w:sz w:val="24"/>
              </w:rPr>
            </w:pPr>
            <w:r>
              <w:rPr>
                <w:rFonts w:hint="eastAsia" w:asciiTheme="minorEastAsia" w:hAnsiTheme="minorEastAsia"/>
                <w:sz w:val="24"/>
              </w:rPr>
              <w:t xml:space="preserve">（20分）</w:t>
            </w:r>
            <w:r/>
          </w:p>
        </w:tc>
        <w:tc>
          <w:tcPr>
            <w:tcBorders>
              <w:top w:val="single" w:color="auto" w:sz="6" w:space="0"/>
              <w:left w:val="single" w:color="auto" w:sz="6" w:space="0"/>
              <w:bottom w:val="single" w:color="auto" w:sz="6" w:space="0"/>
              <w:right w:val="single" w:color="auto" w:sz="6" w:space="0"/>
            </w:tcBorders>
            <w:tcW w:w="798" w:type="dxa"/>
            <w:vAlign w:val="center"/>
            <w:textDirection w:val="lrTb"/>
            <w:noWrap w:val="false"/>
          </w:tcPr>
          <w:p>
            <w:pPr>
              <w:jc w:val="center"/>
              <w:spacing w:line="400" w:lineRule="exact"/>
              <w:rPr>
                <w:rFonts w:asciiTheme="minorEastAsia" w:hAnsiTheme="minorEastAsia"/>
                <w:sz w:val="24"/>
              </w:rPr>
            </w:pPr>
            <w:r>
              <w:rPr>
                <w:rFonts w:hint="eastAsia" w:asciiTheme="minorEastAsia" w:hAnsiTheme="minorEastAsia"/>
                <w:sz w:val="24"/>
              </w:rPr>
              <w:t xml:space="preserve">3.1</w:t>
            </w:r>
            <w:r/>
          </w:p>
        </w:tc>
        <w:tc>
          <w:tcPr>
            <w:tcBorders>
              <w:top w:val="single" w:color="auto" w:sz="6" w:space="0"/>
              <w:left w:val="single" w:color="auto" w:sz="6" w:space="0"/>
              <w:bottom w:val="single" w:color="auto" w:sz="6" w:space="0"/>
              <w:right w:val="single" w:color="auto" w:sz="6" w:space="0"/>
            </w:tcBorders>
            <w:tcW w:w="1199" w:type="dxa"/>
            <w:vAlign w:val="center"/>
            <w:textDirection w:val="lrTb"/>
            <w:noWrap w:val="false"/>
          </w:tcPr>
          <w:p>
            <w:pPr>
              <w:jc w:val="center"/>
              <w:spacing w:line="400" w:lineRule="exact"/>
              <w:widowControl/>
              <w:rPr>
                <w:rFonts w:cs="宋体" w:asciiTheme="minorEastAsia" w:hAnsiTheme="minorEastAsia"/>
                <w:sz w:val="24"/>
              </w:rPr>
            </w:pPr>
            <w:r>
              <w:rPr>
                <w:rFonts w:hint="eastAsia" w:asciiTheme="minorEastAsia" w:hAnsiTheme="minorEastAsia"/>
                <w:sz w:val="24"/>
              </w:rPr>
              <w:t xml:space="preserve">综合实力</w:t>
            </w:r>
            <w:r/>
          </w:p>
        </w:tc>
        <w:tc>
          <w:tcPr>
            <w:tcBorders>
              <w:top w:val="single" w:color="auto" w:sz="6" w:space="0"/>
              <w:left w:val="single" w:color="auto" w:sz="6" w:space="0"/>
              <w:bottom w:val="single" w:color="auto" w:sz="6" w:space="0"/>
              <w:right w:val="single" w:color="auto" w:sz="6" w:space="0"/>
            </w:tcBorders>
            <w:tcW w:w="5639" w:type="dxa"/>
            <w:vAlign w:val="center"/>
            <w:textDirection w:val="lrTb"/>
            <w:noWrap w:val="false"/>
          </w:tcPr>
          <w:p>
            <w:pPr>
              <w:jc w:val="left"/>
              <w:spacing w:line="400" w:lineRule="exact"/>
              <w:widowControl/>
              <w:rPr>
                <w:rFonts w:asciiTheme="minorEastAsia" w:hAnsiTheme="minorEastAsia"/>
                <w:sz w:val="24"/>
              </w:rPr>
            </w:pPr>
            <w:r>
              <w:rPr>
                <w:rFonts w:hint="eastAsia" w:asciiTheme="minorEastAsia" w:hAnsiTheme="minorEastAsia"/>
                <w:sz w:val="24"/>
              </w:rPr>
              <w:t xml:space="preserve">（1）投标人具有①质量管理体系认证证书、②信息安全管理体系认证证书、③信息技术服务管理体系认证证书、④隐私信息管理体系认证证书、⑤业务连续性管理体系认证证书、⑥知识产权管理体系认证证书，有一项得0.5分，最高得2分。</w:t>
            </w:r>
            <w:r/>
          </w:p>
          <w:p>
            <w:pPr>
              <w:jc w:val="left"/>
              <w:spacing w:line="400" w:lineRule="exact"/>
              <w:widowControl/>
              <w:rPr>
                <w:rFonts w:asciiTheme="minorEastAsia" w:hAnsiTheme="minorEastAsia"/>
                <w:sz w:val="24"/>
              </w:rPr>
            </w:pPr>
            <w:r>
              <w:rPr>
                <w:rFonts w:hint="eastAsia" w:asciiTheme="minorEastAsia" w:hAnsiTheme="minorEastAsia"/>
                <w:sz w:val="24"/>
              </w:rPr>
              <w:t xml:space="preserve">（2）投标人具有CCRC信息安全服务资质认证证书，得2分。</w:t>
            </w:r>
            <w:r/>
          </w:p>
          <w:p>
            <w:pPr>
              <w:jc w:val="left"/>
              <w:spacing w:line="400" w:lineRule="exact"/>
              <w:widowControl/>
              <w:rPr>
                <w:rFonts w:asciiTheme="minorEastAsia" w:hAnsiTheme="minorEastAsia"/>
                <w:sz w:val="24"/>
              </w:rPr>
            </w:pPr>
            <w:r>
              <w:rPr>
                <w:rFonts w:hint="eastAsia" w:ascii="宋体" w:hAnsi="宋体" w:eastAsia="宋体" w:cs="宋体"/>
                <w:sz w:val="24"/>
                <w:szCs w:val="24"/>
              </w:rPr>
              <w:t xml:space="preserve">（须提供有效期内的证书扫描件）</w:t>
            </w:r>
            <w:r/>
          </w:p>
        </w:tc>
        <w:tc>
          <w:tcPr>
            <w:tcBorders>
              <w:top w:val="single" w:color="auto" w:sz="6" w:space="0"/>
              <w:left w:val="single" w:color="auto" w:sz="6" w:space="0"/>
              <w:bottom w:val="single" w:color="auto" w:sz="6" w:space="0"/>
              <w:right w:val="single" w:color="auto" w:sz="8" w:space="0"/>
            </w:tcBorders>
            <w:tcW w:w="712" w:type="dxa"/>
            <w:vAlign w:val="center"/>
            <w:textDirection w:val="lrTb"/>
            <w:noWrap w:val="false"/>
          </w:tcPr>
          <w:p>
            <w:pPr>
              <w:jc w:val="center"/>
              <w:spacing w:line="400" w:lineRule="exact"/>
              <w:rPr>
                <w:rFonts w:asciiTheme="minorEastAsia" w:hAnsiTheme="minorEastAsia"/>
                <w:sz w:val="24"/>
              </w:rPr>
            </w:pPr>
            <w:r>
              <w:rPr>
                <w:rFonts w:hint="eastAsia" w:asciiTheme="minorEastAsia" w:hAnsiTheme="minorEastAsia"/>
                <w:sz w:val="24"/>
              </w:rPr>
              <w:t xml:space="preserve">4</w:t>
            </w:r>
            <w:r/>
          </w:p>
        </w:tc>
      </w:tr>
      <w:tr>
        <w:trPr>
          <w:jc w:val="center"/>
        </w:trPr>
        <w:tc>
          <w:tcPr>
            <w:tcBorders>
              <w:left w:val="single" w:color="auto" w:sz="8" w:space="0"/>
              <w:right w:val="single" w:color="auto" w:sz="6" w:space="0"/>
            </w:tcBorders>
            <w:tcW w:w="1280" w:type="dxa"/>
            <w:vAlign w:val="center"/>
            <w:vMerge w:val="continue"/>
            <w:textDirection w:val="lrTb"/>
            <w:noWrap w:val="false"/>
          </w:tcPr>
          <w:p>
            <w:pPr>
              <w:jc w:val="center"/>
              <w:spacing w:line="400" w:lineRule="exact"/>
              <w:rPr>
                <w:rFonts w:asciiTheme="minorEastAsia" w:hAnsiTheme="minorEastAsia"/>
                <w:sz w:val="24"/>
              </w:rPr>
            </w:pPr>
            <w:r>
              <w:rPr>
                <w:rFonts w:asciiTheme="minorEastAsia" w:hAnsiTheme="minorEastAsia"/>
                <w:sz w:val="24"/>
              </w:rPr>
            </w:r>
            <w:r/>
          </w:p>
        </w:tc>
        <w:tc>
          <w:tcPr>
            <w:shd w:val="clear" w:color="auto" w:fill="auto"/>
            <w:tcBorders>
              <w:top w:val="single" w:color="auto" w:sz="6" w:space="0"/>
              <w:left w:val="single" w:color="auto" w:sz="6" w:space="0"/>
              <w:bottom w:val="single" w:color="auto" w:sz="6" w:space="0"/>
              <w:right w:val="single" w:color="auto" w:sz="6" w:space="0"/>
            </w:tcBorders>
            <w:tcW w:w="798" w:type="dxa"/>
            <w:vAlign w:val="center"/>
            <w:textDirection w:val="lrTb"/>
            <w:noWrap w:val="false"/>
          </w:tcPr>
          <w:p>
            <w:pPr>
              <w:jc w:val="center"/>
              <w:spacing w:line="400" w:lineRule="exact"/>
              <w:rPr>
                <w:rFonts w:asciiTheme="minorEastAsia" w:hAnsiTheme="minorEastAsia"/>
                <w:sz w:val="24"/>
              </w:rPr>
            </w:pPr>
            <w:r>
              <w:rPr>
                <w:rFonts w:hint="eastAsia" w:asciiTheme="minorEastAsia" w:hAnsiTheme="minorEastAsia"/>
                <w:sz w:val="24"/>
              </w:rPr>
              <w:t xml:space="preserve">3.2</w:t>
            </w:r>
            <w:r/>
          </w:p>
        </w:tc>
        <w:tc>
          <w:tcPr>
            <w:shd w:val="clear" w:color="auto" w:fill="auto"/>
            <w:tcBorders>
              <w:top w:val="single" w:color="auto" w:sz="6" w:space="0"/>
              <w:left w:val="single" w:color="auto" w:sz="6" w:space="0"/>
              <w:bottom w:val="single" w:color="auto" w:sz="6" w:space="0"/>
              <w:right w:val="single" w:color="auto" w:sz="6" w:space="0"/>
            </w:tcBorders>
            <w:tcW w:w="1199" w:type="dxa"/>
            <w:vAlign w:val="center"/>
            <w:textDirection w:val="lrTb"/>
            <w:noWrap w:val="false"/>
          </w:tcPr>
          <w:p>
            <w:pPr>
              <w:jc w:val="center"/>
              <w:spacing w:line="400" w:lineRule="exact"/>
              <w:rPr>
                <w:rFonts w:asciiTheme="minorEastAsia" w:hAnsiTheme="minorEastAsia"/>
                <w:bCs/>
                <w:sz w:val="24"/>
              </w:rPr>
            </w:pPr>
            <w:r>
              <w:rPr>
                <w:rFonts w:hint="eastAsia" w:asciiTheme="minorEastAsia" w:hAnsiTheme="minorEastAsia"/>
                <w:bCs/>
                <w:sz w:val="24"/>
              </w:rPr>
              <w:t xml:space="preserve">业绩</w:t>
            </w:r>
            <w:r/>
          </w:p>
        </w:tc>
        <w:tc>
          <w:tcPr>
            <w:shd w:val="clear" w:color="auto" w:fill="auto"/>
            <w:tcBorders>
              <w:top w:val="single" w:color="auto" w:sz="6" w:space="0"/>
              <w:left w:val="single" w:color="auto" w:sz="6" w:space="0"/>
              <w:bottom w:val="single" w:color="auto" w:sz="6" w:space="0"/>
              <w:right w:val="single" w:color="auto" w:sz="6" w:space="0"/>
            </w:tcBorders>
            <w:tcW w:w="5639" w:type="dxa"/>
            <w:vAlign w:val="center"/>
            <w:textDirection w:val="lrTb"/>
            <w:noWrap w:val="false"/>
          </w:tcPr>
          <w:p>
            <w:pPr>
              <w:jc w:val="left"/>
              <w:spacing w:line="400" w:lineRule="exact"/>
              <w:widowControl/>
              <w:rPr>
                <w:rFonts w:asciiTheme="minorEastAsia" w:hAnsiTheme="minorEastAsia"/>
              </w:rPr>
            </w:pPr>
            <w:r>
              <w:rPr>
                <w:rFonts w:hint="eastAsia" w:ascii="宋体" w:hAnsi="宋体" w:cs="宋体"/>
                <w:sz w:val="24"/>
              </w:rPr>
              <w:t xml:space="preserve">2022年1月1日以来（以合同签订时间为准），投标人具有类似项目案例业绩的，有一个得1分，最高得3分。（</w:t>
            </w:r>
            <w:r>
              <w:rPr>
                <w:rFonts w:hint="eastAsia" w:ascii="宋体" w:hAnsi="宋体" w:eastAsia="宋体" w:cs="仿宋"/>
                <w:sz w:val="24"/>
                <w:szCs w:val="24"/>
              </w:rPr>
              <w:t xml:space="preserve">须提供合同扫描件</w:t>
            </w:r>
            <w:r>
              <w:rPr>
                <w:rFonts w:hint="eastAsia" w:ascii="宋体" w:hAnsi="宋体" w:cs="宋体"/>
                <w:sz w:val="24"/>
              </w:rPr>
              <w:t xml:space="preserve">）</w:t>
            </w:r>
            <w:r/>
          </w:p>
        </w:tc>
        <w:tc>
          <w:tcPr>
            <w:shd w:val="clear" w:color="auto" w:fill="auto"/>
            <w:tcBorders>
              <w:top w:val="single" w:color="auto" w:sz="6" w:space="0"/>
              <w:left w:val="single" w:color="auto" w:sz="6" w:space="0"/>
              <w:bottom w:val="single" w:color="auto" w:sz="6" w:space="0"/>
              <w:right w:val="single" w:color="auto" w:sz="8" w:space="0"/>
            </w:tcBorders>
            <w:tcW w:w="712" w:type="dxa"/>
            <w:vAlign w:val="center"/>
            <w:textDirection w:val="lrTb"/>
            <w:noWrap w:val="false"/>
          </w:tcPr>
          <w:p>
            <w:pPr>
              <w:jc w:val="center"/>
              <w:spacing w:line="400" w:lineRule="exact"/>
              <w:rPr>
                <w:rFonts w:asciiTheme="minorEastAsia" w:hAnsiTheme="minorEastAsia"/>
                <w:sz w:val="24"/>
              </w:rPr>
            </w:pPr>
            <w:r>
              <w:rPr>
                <w:rFonts w:hint="eastAsia" w:asciiTheme="minorEastAsia" w:hAnsiTheme="minorEastAsia"/>
                <w:sz w:val="24"/>
              </w:rPr>
              <w:t xml:space="preserve">3</w:t>
            </w:r>
            <w:r/>
          </w:p>
        </w:tc>
      </w:tr>
      <w:tr>
        <w:trPr>
          <w:jc w:val="center"/>
        </w:trPr>
        <w:tc>
          <w:tcPr>
            <w:tcBorders>
              <w:left w:val="single" w:color="auto" w:sz="8" w:space="0"/>
              <w:right w:val="single" w:color="auto" w:sz="6" w:space="0"/>
            </w:tcBorders>
            <w:tcW w:w="1280" w:type="dxa"/>
            <w:vAlign w:val="center"/>
            <w:vMerge w:val="continue"/>
            <w:textDirection w:val="lrTb"/>
            <w:noWrap w:val="false"/>
          </w:tcPr>
          <w:p>
            <w:pPr>
              <w:jc w:val="center"/>
              <w:spacing w:line="400" w:lineRule="exact"/>
              <w:widowControl/>
              <w:rPr>
                <w:rFonts w:asciiTheme="minorEastAsia" w:hAnsiTheme="minorEastAsia"/>
                <w:sz w:val="24"/>
              </w:rPr>
            </w:pPr>
            <w:r>
              <w:rPr>
                <w:rFonts w:asciiTheme="minorEastAsia" w:hAnsiTheme="minorEastAsia"/>
                <w:sz w:val="24"/>
              </w:rPr>
            </w:r>
            <w:r/>
          </w:p>
        </w:tc>
        <w:tc>
          <w:tcPr>
            <w:tcBorders>
              <w:top w:val="single" w:color="auto" w:sz="6" w:space="0"/>
              <w:left w:val="single" w:color="auto" w:sz="6" w:space="0"/>
              <w:right w:val="single" w:color="auto" w:sz="6" w:space="0"/>
            </w:tcBorders>
            <w:tcW w:w="798" w:type="dxa"/>
            <w:vAlign w:val="center"/>
            <w:textDirection w:val="lrTb"/>
            <w:noWrap w:val="false"/>
          </w:tcPr>
          <w:p>
            <w:pPr>
              <w:jc w:val="center"/>
              <w:spacing w:line="400" w:lineRule="exact"/>
              <w:rPr>
                <w:rFonts w:asciiTheme="minorEastAsia" w:hAnsiTheme="minorEastAsia"/>
                <w:sz w:val="24"/>
              </w:rPr>
            </w:pPr>
            <w:r>
              <w:rPr>
                <w:rFonts w:hint="eastAsia" w:asciiTheme="minorEastAsia" w:hAnsiTheme="minorEastAsia"/>
                <w:sz w:val="24"/>
              </w:rPr>
              <w:t xml:space="preserve">3.3</w:t>
            </w:r>
            <w:r/>
          </w:p>
        </w:tc>
        <w:tc>
          <w:tcPr>
            <w:tcBorders>
              <w:top w:val="single" w:color="auto" w:sz="6" w:space="0"/>
              <w:left w:val="single" w:color="auto" w:sz="6" w:space="0"/>
              <w:right w:val="single" w:color="auto" w:sz="6" w:space="0"/>
            </w:tcBorders>
            <w:tcW w:w="1199" w:type="dxa"/>
            <w:vAlign w:val="center"/>
            <w:textDirection w:val="lrTb"/>
            <w:noWrap w:val="false"/>
          </w:tcPr>
          <w:p>
            <w:pPr>
              <w:jc w:val="center"/>
              <w:spacing w:line="400" w:lineRule="exact"/>
              <w:rPr>
                <w:rFonts w:asciiTheme="minorEastAsia" w:hAnsiTheme="minorEastAsia"/>
                <w:sz w:val="24"/>
              </w:rPr>
            </w:pPr>
            <w:r>
              <w:rPr>
                <w:rFonts w:hint="eastAsia" w:asciiTheme="minorEastAsia" w:hAnsiTheme="minorEastAsia"/>
                <w:sz w:val="24"/>
              </w:rPr>
              <w:t xml:space="preserve">知识产权</w:t>
            </w:r>
            <w:r/>
          </w:p>
        </w:tc>
        <w:tc>
          <w:tcPr>
            <w:tcBorders>
              <w:top w:val="single" w:color="auto" w:sz="6" w:space="0"/>
              <w:left w:val="single" w:color="auto" w:sz="6" w:space="0"/>
              <w:right w:val="single" w:color="auto" w:sz="6" w:space="0"/>
            </w:tcBorders>
            <w:tcW w:w="5639" w:type="dxa"/>
            <w:vAlign w:val="center"/>
            <w:textDirection w:val="lrTb"/>
            <w:noWrap w:val="false"/>
          </w:tcPr>
          <w:p>
            <w:pPr>
              <w:jc w:val="left"/>
              <w:spacing w:line="400" w:lineRule="exact"/>
              <w:widowControl/>
              <w:rPr>
                <w:rFonts w:asciiTheme="minorEastAsia" w:hAnsiTheme="minorEastAsia"/>
                <w:sz w:val="24"/>
              </w:rPr>
            </w:pPr>
            <w:r>
              <w:rPr>
                <w:rFonts w:hint="eastAsia" w:asciiTheme="minorEastAsia" w:hAnsiTheme="minorEastAsia"/>
                <w:sz w:val="24"/>
              </w:rPr>
              <w:t xml:space="preserve">投标人具有本项目相关的主要业务系统软件的自主知识产权，包括：①医院信息管理系统（H</w:t>
            </w:r>
            <w:r>
              <w:rPr>
                <w:rFonts w:asciiTheme="minorEastAsia" w:hAnsiTheme="minorEastAsia"/>
                <w:sz w:val="24"/>
              </w:rPr>
              <w:t xml:space="preserve">IS</w:t>
            </w:r>
            <w:r>
              <w:rPr>
                <w:rFonts w:hint="eastAsia" w:asciiTheme="minorEastAsia" w:hAnsiTheme="minorEastAsia"/>
                <w:sz w:val="24"/>
              </w:rPr>
              <w:t xml:space="preserve">）、②挂号预约、③电子病历（E</w:t>
            </w:r>
            <w:r>
              <w:rPr>
                <w:rFonts w:asciiTheme="minorEastAsia" w:hAnsiTheme="minorEastAsia"/>
                <w:sz w:val="24"/>
              </w:rPr>
              <w:t xml:space="preserve">MR</w:t>
            </w:r>
            <w:r>
              <w:rPr>
                <w:rFonts w:hint="eastAsia" w:asciiTheme="minorEastAsia" w:hAnsiTheme="minorEastAsia"/>
                <w:sz w:val="24"/>
              </w:rPr>
              <w:t xml:space="preserve">）、④门诊医生工作站、⑤住院医生工作站、⑥处方点评、⑦病历质控、⑧临床路径、⑨检验系统、⑩移动护理</w:t>
            </w:r>
            <w:r>
              <w:rPr>
                <w:rFonts w:asciiTheme="minorEastAsia" w:hAnsiTheme="minorEastAsia"/>
                <w:sz w:val="24"/>
              </w:rPr>
              <w:t xml:space="preserve">的计算机软件著作权登记证书，</w:t>
            </w:r>
            <w:r>
              <w:rPr>
                <w:rFonts w:hint="eastAsia" w:asciiTheme="minorEastAsia" w:hAnsiTheme="minorEastAsia"/>
                <w:sz w:val="24"/>
              </w:rPr>
              <w:t xml:space="preserve">有一项得0.5分，最高得4分。</w:t>
            </w:r>
            <w:r/>
          </w:p>
          <w:p>
            <w:pPr>
              <w:jc w:val="left"/>
              <w:spacing w:line="400" w:lineRule="exact"/>
              <w:widowControl/>
              <w:rPr>
                <w:rFonts w:asciiTheme="minorEastAsia" w:hAnsiTheme="minorEastAsia"/>
                <w:sz w:val="24"/>
              </w:rPr>
            </w:pPr>
            <w:r>
              <w:rPr>
                <w:rFonts w:hint="eastAsia" w:asciiTheme="minorEastAsia" w:hAnsiTheme="minorEastAsia"/>
                <w:sz w:val="24"/>
              </w:rPr>
              <w:t xml:space="preserve">（类型相似不重复得分。须提供证书扫描件。如软件著作权名称与上述内容不完全一致的，经评标委员会认定为同一类型产品的予以得分）</w:t>
            </w:r>
            <w:r/>
          </w:p>
        </w:tc>
        <w:tc>
          <w:tcPr>
            <w:tcBorders>
              <w:top w:val="single" w:color="auto" w:sz="6" w:space="0"/>
              <w:left w:val="single" w:color="auto" w:sz="6" w:space="0"/>
              <w:right w:val="single" w:color="auto" w:sz="8" w:space="0"/>
            </w:tcBorders>
            <w:tcW w:w="712" w:type="dxa"/>
            <w:vAlign w:val="center"/>
            <w:textDirection w:val="lrTb"/>
            <w:noWrap w:val="false"/>
          </w:tcPr>
          <w:p>
            <w:pPr>
              <w:jc w:val="center"/>
              <w:spacing w:line="400" w:lineRule="exact"/>
              <w:rPr>
                <w:rFonts w:asciiTheme="minorEastAsia" w:hAnsiTheme="minorEastAsia"/>
                <w:sz w:val="24"/>
              </w:rPr>
            </w:pPr>
            <w:r>
              <w:rPr>
                <w:rFonts w:hint="eastAsia" w:asciiTheme="minorEastAsia" w:hAnsiTheme="minorEastAsia"/>
                <w:sz w:val="24"/>
              </w:rPr>
              <w:t xml:space="preserve">4</w:t>
            </w:r>
            <w:r/>
          </w:p>
        </w:tc>
      </w:tr>
      <w:tr>
        <w:trPr>
          <w:jc w:val="center"/>
        </w:trPr>
        <w:tc>
          <w:tcPr>
            <w:tcBorders>
              <w:left w:val="single" w:color="auto" w:sz="8" w:space="0"/>
              <w:right w:val="single" w:color="auto" w:sz="6" w:space="0"/>
            </w:tcBorders>
            <w:tcW w:w="1280" w:type="dxa"/>
            <w:vAlign w:val="center"/>
            <w:vMerge w:val="continue"/>
            <w:textDirection w:val="lrTb"/>
            <w:noWrap w:val="false"/>
          </w:tcPr>
          <w:p>
            <w:pPr>
              <w:jc w:val="center"/>
              <w:spacing w:line="400" w:lineRule="exact"/>
              <w:widowControl/>
              <w:rPr>
                <w:rFonts w:asciiTheme="minorEastAsia" w:hAnsiTheme="minorEastAsia"/>
                <w:sz w:val="24"/>
              </w:rPr>
            </w:pPr>
            <w:r>
              <w:rPr>
                <w:rFonts w:asciiTheme="minorEastAsia" w:hAnsiTheme="minorEastAsia"/>
                <w:sz w:val="24"/>
              </w:rPr>
            </w:r>
            <w:r/>
          </w:p>
        </w:tc>
        <w:tc>
          <w:tcPr>
            <w:shd w:val="clear" w:color="auto" w:fill="auto"/>
            <w:tcBorders>
              <w:top w:val="single" w:color="auto" w:sz="6" w:space="0"/>
              <w:left w:val="single" w:color="auto" w:sz="6" w:space="0"/>
              <w:right w:val="single" w:color="auto" w:sz="6" w:space="0"/>
            </w:tcBorders>
            <w:tcW w:w="798" w:type="dxa"/>
            <w:vAlign w:val="center"/>
            <w:textDirection w:val="lrTb"/>
            <w:noWrap w:val="false"/>
          </w:tcPr>
          <w:p>
            <w:pPr>
              <w:jc w:val="center"/>
              <w:spacing w:line="400" w:lineRule="exact"/>
              <w:rPr>
                <w:rFonts w:asciiTheme="minorEastAsia" w:hAnsiTheme="minorEastAsia"/>
                <w:sz w:val="24"/>
              </w:rPr>
            </w:pPr>
            <w:r>
              <w:rPr>
                <w:rFonts w:hint="eastAsia" w:asciiTheme="minorEastAsia" w:hAnsiTheme="minorEastAsia"/>
                <w:sz w:val="24"/>
              </w:rPr>
              <w:t xml:space="preserve">3.4</w:t>
            </w:r>
            <w:r/>
          </w:p>
        </w:tc>
        <w:tc>
          <w:tcPr>
            <w:shd w:val="clear" w:color="auto" w:fill="auto"/>
            <w:tcBorders>
              <w:top w:val="single" w:color="auto" w:sz="6" w:space="0"/>
              <w:left w:val="single" w:color="auto" w:sz="6" w:space="0"/>
              <w:right w:val="single" w:color="auto" w:sz="6" w:space="0"/>
            </w:tcBorders>
            <w:tcW w:w="1199" w:type="dxa"/>
            <w:vAlign w:val="center"/>
            <w:textDirection w:val="lrTb"/>
            <w:noWrap w:val="false"/>
          </w:tcPr>
          <w:p>
            <w:pPr>
              <w:jc w:val="center"/>
              <w:spacing w:line="400" w:lineRule="exact"/>
              <w:rPr>
                <w:rFonts w:asciiTheme="minorEastAsia" w:hAnsiTheme="minorEastAsia"/>
                <w:sz w:val="24"/>
              </w:rPr>
            </w:pPr>
            <w:r>
              <w:rPr>
                <w:rFonts w:hint="eastAsia" w:asciiTheme="minorEastAsia" w:hAnsiTheme="minorEastAsia"/>
                <w:sz w:val="24"/>
              </w:rPr>
              <w:t xml:space="preserve">兼容性互认</w:t>
            </w:r>
            <w:r/>
          </w:p>
        </w:tc>
        <w:tc>
          <w:tcPr>
            <w:shd w:val="clear" w:color="auto" w:fill="auto"/>
            <w:tcBorders>
              <w:top w:val="single" w:color="auto" w:sz="6" w:space="0"/>
              <w:left w:val="single" w:color="auto" w:sz="6" w:space="0"/>
              <w:right w:val="single" w:color="auto" w:sz="6" w:space="0"/>
            </w:tcBorders>
            <w:tcW w:w="5639" w:type="dxa"/>
            <w:vAlign w:val="center"/>
            <w:textDirection w:val="lrTb"/>
            <w:noWrap w:val="false"/>
          </w:tcPr>
          <w:p>
            <w:pPr>
              <w:jc w:val="left"/>
              <w:spacing w:line="400" w:lineRule="exact"/>
              <w:widowControl/>
              <w:rPr>
                <w:rFonts w:asciiTheme="minorEastAsia" w:hAnsiTheme="minorEastAsia"/>
                <w:sz w:val="24"/>
              </w:rPr>
            </w:pPr>
            <w:r>
              <w:rPr>
                <w:rFonts w:hint="eastAsia" w:asciiTheme="minorEastAsia" w:hAnsiTheme="minorEastAsia"/>
                <w:sz w:val="24"/>
              </w:rPr>
              <w:t xml:space="preserve">投标人所投产品与主流国产数据库管理软件、国产服务器操作系统或国产中间件的兼容性互认，具有认证证书或兼容性承诺函（承诺</w:t>
            </w:r>
            <w:r>
              <w:rPr>
                <w:rFonts w:hint="eastAsia" w:asciiTheme="minorEastAsia" w:hAnsiTheme="minorEastAsia"/>
                <w:sz w:val="24"/>
              </w:rPr>
              <w:t xml:space="preserve">函根据</w:t>
            </w:r>
            <w:r>
              <w:rPr>
                <w:rFonts w:hint="eastAsia" w:asciiTheme="minorEastAsia" w:hAnsiTheme="minorEastAsia"/>
                <w:sz w:val="24"/>
              </w:rPr>
              <w:t xml:space="preserve">不同兼容厂商分别提供）的，每提供1份得0.5分，最高得2分。</w:t>
            </w:r>
            <w:r/>
          </w:p>
          <w:p>
            <w:pPr>
              <w:jc w:val="left"/>
              <w:spacing w:line="400" w:lineRule="exact"/>
              <w:widowControl/>
              <w:rPr>
                <w:rFonts w:ascii="宋体" w:hAnsi="宋体" w:cs="宋体"/>
                <w:sz w:val="24"/>
              </w:rPr>
            </w:pPr>
            <w:r>
              <w:rPr>
                <w:rFonts w:hint="eastAsia" w:asciiTheme="minorEastAsia" w:hAnsiTheme="minorEastAsia"/>
                <w:sz w:val="24"/>
              </w:rPr>
              <w:t xml:space="preserve">注：不同产品但是同一厂商认证的证书不重复计分。须提供证书或兼容性承诺函扫描件，未提供不得分。</w:t>
            </w:r>
            <w:r/>
          </w:p>
        </w:tc>
        <w:tc>
          <w:tcPr>
            <w:shd w:val="clear" w:color="auto" w:fill="auto"/>
            <w:tcBorders>
              <w:top w:val="single" w:color="auto" w:sz="6" w:space="0"/>
              <w:left w:val="single" w:color="auto" w:sz="6" w:space="0"/>
              <w:right w:val="single" w:color="auto" w:sz="8" w:space="0"/>
            </w:tcBorders>
            <w:tcW w:w="712" w:type="dxa"/>
            <w:vAlign w:val="center"/>
            <w:textDirection w:val="lrTb"/>
            <w:noWrap w:val="false"/>
          </w:tcPr>
          <w:p>
            <w:pPr>
              <w:jc w:val="center"/>
              <w:spacing w:line="400" w:lineRule="exact"/>
              <w:rPr>
                <w:rFonts w:asciiTheme="minorEastAsia" w:hAnsiTheme="minorEastAsia"/>
                <w:sz w:val="24"/>
              </w:rPr>
            </w:pPr>
            <w:r>
              <w:rPr>
                <w:rFonts w:hint="eastAsia" w:asciiTheme="minorEastAsia" w:hAnsiTheme="minorEastAsia"/>
                <w:sz w:val="24"/>
              </w:rPr>
              <w:t xml:space="preserve">2</w:t>
            </w:r>
            <w:r/>
          </w:p>
        </w:tc>
      </w:tr>
      <w:tr>
        <w:trPr>
          <w:jc w:val="center"/>
        </w:trPr>
        <w:tc>
          <w:tcPr>
            <w:tcBorders>
              <w:left w:val="single" w:color="auto" w:sz="8" w:space="0"/>
              <w:right w:val="single" w:color="auto" w:sz="6" w:space="0"/>
            </w:tcBorders>
            <w:tcW w:w="1280" w:type="dxa"/>
            <w:vAlign w:val="center"/>
            <w:vMerge w:val="continue"/>
            <w:textDirection w:val="lrTb"/>
            <w:noWrap w:val="false"/>
          </w:tcPr>
          <w:p>
            <w:pPr>
              <w:jc w:val="center"/>
              <w:spacing w:line="400" w:lineRule="exact"/>
              <w:widowControl/>
              <w:rPr>
                <w:rFonts w:asciiTheme="minorEastAsia" w:hAnsiTheme="minorEastAsia"/>
                <w:sz w:val="24"/>
              </w:rPr>
            </w:pPr>
            <w:r>
              <w:rPr>
                <w:rFonts w:asciiTheme="minorEastAsia" w:hAnsiTheme="minorEastAsia"/>
                <w:sz w:val="24"/>
              </w:rPr>
            </w:r>
            <w:r/>
          </w:p>
        </w:tc>
        <w:tc>
          <w:tcPr>
            <w:shd w:val="clear" w:color="auto" w:fill="auto"/>
            <w:tcBorders>
              <w:top w:val="single" w:color="auto" w:sz="6" w:space="0"/>
              <w:left w:val="single" w:color="auto" w:sz="6" w:space="0"/>
              <w:bottom w:val="single" w:color="auto" w:sz="6" w:space="0"/>
              <w:right w:val="single" w:color="auto" w:sz="6" w:space="0"/>
            </w:tcBorders>
            <w:tcW w:w="798"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3.5</w:t>
            </w:r>
            <w:r/>
          </w:p>
        </w:tc>
        <w:tc>
          <w:tcPr>
            <w:shd w:val="clear" w:color="auto" w:fill="auto"/>
            <w:tcBorders>
              <w:top w:val="single" w:color="auto" w:sz="6" w:space="0"/>
              <w:left w:val="single" w:color="auto" w:sz="6" w:space="0"/>
              <w:bottom w:val="single" w:color="auto" w:sz="6" w:space="0"/>
              <w:right w:val="single" w:color="auto" w:sz="6" w:space="0"/>
            </w:tcBorders>
            <w:tcW w:w="1199" w:type="dxa"/>
            <w:vAlign w:val="center"/>
            <w:textDirection w:val="lrTb"/>
            <w:noWrap w:val="false"/>
          </w:tcPr>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项目经理</w:t>
            </w:r>
            <w:r/>
          </w:p>
        </w:tc>
        <w:tc>
          <w:tcPr>
            <w:shd w:val="clear" w:color="auto" w:fill="auto"/>
            <w:tcBorders>
              <w:top w:val="single" w:color="auto" w:sz="6" w:space="0"/>
              <w:left w:val="single" w:color="auto" w:sz="6" w:space="0"/>
              <w:bottom w:val="single" w:color="auto" w:sz="6" w:space="0"/>
              <w:right w:val="single" w:color="auto" w:sz="6" w:space="0"/>
            </w:tcBorders>
            <w:tcW w:w="5639"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Times New Roman"/>
                <w:bCs/>
                <w:sz w:val="24"/>
                <w:szCs w:val="24"/>
              </w:rPr>
              <w:t xml:space="preserve">投标人为本项目配备的项目经理具有：</w:t>
            </w:r>
            <w:r/>
          </w:p>
          <w:p>
            <w:pPr>
              <w:jc w:val="left"/>
              <w:spacing w:line="400" w:lineRule="exact"/>
              <w:rPr>
                <w:rFonts w:ascii="宋体" w:hAnsi="宋体" w:eastAsia="宋体" w:cs="宋体"/>
                <w:sz w:val="24"/>
                <w:szCs w:val="24"/>
              </w:rPr>
            </w:pPr>
            <w:r>
              <w:rPr>
                <w:rFonts w:hint="eastAsia" w:ascii="宋体" w:hAnsi="宋体" w:eastAsia="宋体" w:cs="宋体"/>
                <w:sz w:val="24"/>
                <w:szCs w:val="24"/>
              </w:rPr>
              <w:t xml:space="preserve">①信息系统项目管理师证书或信息技术相关的高级工程师证书，得2分；</w:t>
            </w:r>
            <w:r/>
          </w:p>
          <w:p>
            <w:pPr>
              <w:jc w:val="left"/>
              <w:spacing w:line="400" w:lineRule="exact"/>
              <w:rPr>
                <w:rFonts w:asciiTheme="minorEastAsia" w:hAnsiTheme="minorEastAsia"/>
                <w:sz w:val="24"/>
              </w:rPr>
            </w:pPr>
            <w:r>
              <w:rPr>
                <w:rFonts w:hint="eastAsia" w:ascii="宋体" w:hAnsi="宋体" w:eastAsia="宋体" w:cs="宋体"/>
                <w:sz w:val="24"/>
                <w:szCs w:val="24"/>
              </w:rPr>
              <w:t xml:space="preserve">②</w:t>
            </w:r>
            <w:r>
              <w:rPr>
                <w:rFonts w:hint="eastAsia" w:asciiTheme="minorEastAsia" w:hAnsiTheme="minorEastAsia"/>
                <w:sz w:val="24"/>
              </w:rPr>
              <w:t xml:space="preserve">同类项目的项目经理经验</w:t>
            </w:r>
            <w:r>
              <w:rPr>
                <w:rFonts w:asciiTheme="minorEastAsia" w:hAnsiTheme="minorEastAsia"/>
                <w:sz w:val="24"/>
              </w:rPr>
              <w:t xml:space="preserve">的，</w:t>
            </w:r>
            <w:r>
              <w:rPr>
                <w:rFonts w:hint="eastAsia" w:asciiTheme="minorEastAsia" w:hAnsiTheme="minorEastAsia"/>
                <w:sz w:val="24"/>
              </w:rPr>
              <w:t xml:space="preserve">每提供一个案例得0.5分，最高得1分；</w:t>
            </w:r>
            <w:r/>
          </w:p>
          <w:p>
            <w:pPr>
              <w:jc w:val="left"/>
              <w:spacing w:line="400" w:lineRule="exact"/>
              <w:rPr>
                <w:rFonts w:ascii="宋体" w:hAnsi="宋体" w:eastAsia="宋体" w:cs="宋体"/>
                <w:sz w:val="24"/>
                <w:szCs w:val="24"/>
              </w:rPr>
            </w:pPr>
            <w:r>
              <w:rPr>
                <w:rFonts w:hint="eastAsia" w:ascii="宋体" w:hAnsi="宋体" w:eastAsia="宋体" w:cs="宋体"/>
                <w:sz w:val="24"/>
                <w:szCs w:val="24"/>
              </w:rPr>
              <w:t xml:space="preserve">【须提供证书、经验相关证明材料扫描件，且须提供</w:t>
            </w:r>
            <w:r>
              <w:rPr>
                <w:rFonts w:hint="eastAsia" w:ascii="宋体" w:hAnsi="宋体" w:eastAsia="宋体" w:cs="仿宋"/>
                <w:sz w:val="24"/>
                <w:szCs w:val="24"/>
              </w:rPr>
              <w:t xml:space="preserve">本单位近3个月（含投标当月）中任意1个月份为其缴纳社保的证明扫描件】</w:t>
            </w:r>
            <w:r/>
          </w:p>
        </w:tc>
        <w:tc>
          <w:tcPr>
            <w:shd w:val="clear" w:color="auto" w:fill="auto"/>
            <w:tcBorders>
              <w:top w:val="single" w:color="auto" w:sz="6" w:space="0"/>
              <w:left w:val="single" w:color="auto" w:sz="6" w:space="0"/>
              <w:bottom w:val="single" w:color="auto" w:sz="6" w:space="0"/>
              <w:right w:val="single" w:color="auto" w:sz="8" w:space="0"/>
            </w:tcBorders>
            <w:tcW w:w="712" w:type="dxa"/>
            <w:vAlign w:val="center"/>
            <w:textDirection w:val="lrTb"/>
            <w:noWrap w:val="false"/>
          </w:tcPr>
          <w:p>
            <w:pPr>
              <w:jc w:val="center"/>
              <w:spacing w:line="400" w:lineRule="exact"/>
              <w:rPr>
                <w:rFonts w:ascii="宋体" w:hAnsi="宋体" w:eastAsia="宋体" w:cs="Times New Roman"/>
                <w:sz w:val="24"/>
              </w:rPr>
            </w:pPr>
            <w:r>
              <w:rPr>
                <w:rFonts w:hint="eastAsia" w:ascii="宋体" w:hAnsi="宋体" w:eastAsia="宋体" w:cs="Times New Roman"/>
                <w:sz w:val="24"/>
              </w:rPr>
              <w:t xml:space="preserve">3</w:t>
            </w:r>
            <w:r/>
          </w:p>
        </w:tc>
      </w:tr>
      <w:tr>
        <w:trPr>
          <w:jc w:val="center"/>
        </w:trPr>
        <w:tc>
          <w:tcPr>
            <w:tcW w:w="1280" w:type="dxa"/>
            <w:textDirection w:val="lrTb"/>
            <w:noWrap w:val="false"/>
          </w:tcPr>
          <w:p>
            <w:pPr>
              <w:jc w:val="center"/>
              <w:spacing w:line="400" w:lineRule="exact"/>
              <w:widowControl/>
              <w:rPr>
                <w:rFonts w:asciiTheme="minorEastAsia" w:hAnsiTheme="minorEastAsia"/>
                <w:sz w:val="24"/>
              </w:rPr>
            </w:pPr>
            <w:r>
              <w:rPr>
                <w:rFonts w:asciiTheme="minorEastAsia" w:hAnsiTheme="minorEastAsia"/>
                <w:sz w:val="24"/>
              </w:rPr>
            </w:r>
            <w:r/>
          </w:p>
        </w:tc>
        <w:tc>
          <w:tcPr>
            <w:shd w:val="clear" w:color="auto" w:fill="auto"/>
            <w:tcW w:w="798"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3.6</w:t>
            </w:r>
            <w:r/>
          </w:p>
        </w:tc>
        <w:tc>
          <w:tcPr>
            <w:shd w:val="clear" w:color="auto" w:fill="auto"/>
            <w:tcW w:w="1199" w:type="dxa"/>
            <w:vAlign w:val="center"/>
            <w:textDirection w:val="lrTb"/>
            <w:noWrap w:val="false"/>
          </w:tcPr>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项目组其他成员</w:t>
            </w:r>
            <w:r/>
          </w:p>
        </w:tc>
        <w:tc>
          <w:tcPr>
            <w:shd w:val="clear" w:color="auto" w:fill="auto"/>
            <w:tcW w:w="5639" w:type="dxa"/>
            <w:vAlign w:val="center"/>
            <w:textDirection w:val="lrTb"/>
            <w:noWrap w:val="false"/>
          </w:tcPr>
          <w:p>
            <w:pPr>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（1）投标人为本项目配备的开发组组长具有：</w:t>
            </w:r>
            <w:r/>
          </w:p>
          <w:p>
            <w:pPr>
              <w:jc w:val="left"/>
              <w:spacing w:line="400" w:lineRule="exact"/>
              <w:widowControl/>
              <w:rPr>
                <w:rFonts w:ascii="宋体" w:hAnsi="宋体" w:eastAsia="宋体" w:cs="Times New Roman"/>
                <w:bCs/>
                <w:sz w:val="24"/>
                <w:szCs w:val="24"/>
              </w:rPr>
            </w:pPr>
            <w:r>
              <w:rPr>
                <w:rFonts w:hint="eastAsia" w:asciiTheme="minorEastAsia" w:hAnsiTheme="minorEastAsia"/>
                <w:sz w:val="24"/>
              </w:rPr>
              <w:t xml:space="preserve">①</w:t>
            </w:r>
            <w:r>
              <w:rPr>
                <w:rFonts w:asciiTheme="minorEastAsia" w:hAnsiTheme="minorEastAsia"/>
                <w:sz w:val="24"/>
              </w:rPr>
              <w:t xml:space="preserve">信息系统项目管理师证书</w:t>
            </w:r>
            <w:r>
              <w:rPr>
                <w:rFonts w:hint="eastAsia" w:asciiTheme="minorEastAsia" w:hAnsiTheme="minorEastAsia"/>
                <w:sz w:val="24"/>
              </w:rPr>
              <w:t xml:space="preserve">、②</w:t>
            </w:r>
            <w:r>
              <w:rPr>
                <w:rFonts w:asciiTheme="minorEastAsia" w:hAnsiTheme="minorEastAsia"/>
                <w:sz w:val="24"/>
              </w:rPr>
              <w:t xml:space="preserve">系统架构设计师证书</w:t>
            </w:r>
            <w:r>
              <w:rPr>
                <w:rFonts w:hint="eastAsia" w:asciiTheme="minorEastAsia" w:hAnsiTheme="minorEastAsia"/>
                <w:sz w:val="24"/>
              </w:rPr>
              <w:t xml:space="preserve">、③数据库系统工程师证书，有</w:t>
            </w:r>
            <w:r>
              <w:rPr>
                <w:rFonts w:hint="eastAsia" w:asciiTheme="minorEastAsia" w:hAnsiTheme="minorEastAsia"/>
                <w:sz w:val="24"/>
              </w:rPr>
              <w:t xml:space="preserve">一项得1分，最高</w:t>
            </w:r>
            <w:r>
              <w:rPr>
                <w:rFonts w:hint="eastAsia" w:asciiTheme="minorEastAsia" w:hAnsiTheme="minorEastAsia"/>
                <w:sz w:val="24"/>
              </w:rPr>
              <w:t xml:space="preserve">得2分；</w:t>
            </w:r>
            <w:r/>
          </w:p>
          <w:p>
            <w:pPr>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（2）投标人为本项目配备的</w:t>
            </w:r>
            <w:r>
              <w:rPr>
                <w:rFonts w:hint="eastAsia" w:ascii="宋体" w:hAnsi="宋体" w:eastAsia="宋体" w:cs="Times New Roman"/>
                <w:bCs/>
                <w:sz w:val="24"/>
                <w:szCs w:val="24"/>
              </w:rPr>
              <w:t xml:space="preserve">实施组</w:t>
            </w:r>
            <w:r>
              <w:rPr>
                <w:rFonts w:hint="eastAsia" w:ascii="宋体" w:hAnsi="宋体" w:eastAsia="宋体" w:cs="Times New Roman"/>
                <w:bCs/>
                <w:sz w:val="24"/>
                <w:szCs w:val="24"/>
              </w:rPr>
              <w:t xml:space="preserve">组长具有：</w:t>
            </w:r>
            <w:r/>
          </w:p>
          <w:p>
            <w:pPr>
              <w:jc w:val="left"/>
              <w:spacing w:line="400" w:lineRule="exact"/>
              <w:rPr>
                <w:rFonts w:ascii="宋体" w:hAnsi="宋体" w:eastAsia="宋体" w:cs="Times New Roman"/>
                <w:bCs/>
                <w:sz w:val="24"/>
                <w:szCs w:val="24"/>
              </w:rPr>
            </w:pPr>
            <w:r>
              <w:rPr>
                <w:rFonts w:hint="eastAsia" w:asciiTheme="minorEastAsia" w:hAnsiTheme="minorEastAsia"/>
                <w:sz w:val="24"/>
              </w:rPr>
              <w:t xml:space="preserve">①</w:t>
            </w:r>
            <w:r>
              <w:rPr>
                <w:rFonts w:asciiTheme="minorEastAsia" w:hAnsiTheme="minorEastAsia"/>
                <w:sz w:val="24"/>
              </w:rPr>
              <w:t xml:space="preserve">系统分析师证书</w:t>
            </w:r>
            <w:r>
              <w:rPr>
                <w:rFonts w:hint="eastAsia" w:asciiTheme="minorEastAsia" w:hAnsiTheme="minorEastAsia"/>
                <w:sz w:val="24"/>
              </w:rPr>
              <w:t xml:space="preserve">、②</w:t>
            </w:r>
            <w:r>
              <w:rPr>
                <w:rFonts w:asciiTheme="minorEastAsia" w:hAnsiTheme="minorEastAsia"/>
                <w:sz w:val="24"/>
              </w:rPr>
              <w:t xml:space="preserve">软件设计师证书</w:t>
            </w:r>
            <w:r>
              <w:rPr>
                <w:rFonts w:hint="eastAsia" w:asciiTheme="minorEastAsia" w:hAnsiTheme="minorEastAsia"/>
                <w:sz w:val="24"/>
              </w:rPr>
              <w:t xml:space="preserve">、③</w:t>
            </w:r>
            <w:r>
              <w:rPr>
                <w:rFonts w:asciiTheme="minorEastAsia" w:hAnsiTheme="minorEastAsia"/>
                <w:sz w:val="24"/>
              </w:rPr>
              <w:t xml:space="preserve">数据库系统工程师证书，</w:t>
            </w:r>
            <w:r>
              <w:rPr>
                <w:rFonts w:hint="eastAsia" w:asciiTheme="minorEastAsia" w:hAnsiTheme="minorEastAsia"/>
                <w:sz w:val="24"/>
              </w:rPr>
              <w:t xml:space="preserve">有</w:t>
            </w:r>
            <w:r>
              <w:rPr>
                <w:rFonts w:hint="eastAsia" w:asciiTheme="minorEastAsia" w:hAnsiTheme="minorEastAsia"/>
                <w:sz w:val="24"/>
              </w:rPr>
              <w:t xml:space="preserve">一项得1分，最高</w:t>
            </w:r>
            <w:r>
              <w:rPr>
                <w:rFonts w:hint="eastAsia" w:asciiTheme="minorEastAsia" w:hAnsiTheme="minorEastAsia"/>
                <w:sz w:val="24"/>
              </w:rPr>
              <w:t xml:space="preserve">得2分；</w:t>
            </w:r>
            <w:r/>
          </w:p>
          <w:p>
            <w:pPr>
              <w:jc w:val="left"/>
              <w:spacing w:line="400" w:lineRule="exact"/>
              <w:rPr>
                <w:rFonts w:ascii="宋体" w:hAnsi="宋体" w:eastAsia="宋体" w:cs="宋体"/>
                <w:sz w:val="24"/>
                <w:szCs w:val="24"/>
              </w:rPr>
            </w:pPr>
            <w:r>
              <w:rPr>
                <w:rFonts w:hint="eastAsia" w:ascii="宋体" w:hAnsi="宋体" w:eastAsia="宋体" w:cs="宋体"/>
                <w:sz w:val="24"/>
                <w:szCs w:val="24"/>
              </w:rPr>
              <w:t xml:space="preserve">【须提供证书扫描件，且须提供</w:t>
            </w:r>
            <w:r>
              <w:rPr>
                <w:rFonts w:hint="eastAsia" w:ascii="宋体" w:hAnsi="宋体" w:eastAsia="宋体" w:cs="仿宋"/>
                <w:sz w:val="24"/>
                <w:szCs w:val="24"/>
              </w:rPr>
              <w:t xml:space="preserve">本单位近3个月（含投标当月）中任意1个月份为其缴纳社保的证明扫描件】</w:t>
            </w:r>
            <w:r/>
          </w:p>
        </w:tc>
        <w:tc>
          <w:tcPr>
            <w:shd w:val="clear" w:color="auto" w:fill="auto"/>
            <w:tcW w:w="712" w:type="dxa"/>
            <w:vAlign w:val="center"/>
            <w:textDirection w:val="lrTb"/>
            <w:noWrap w:val="false"/>
          </w:tcPr>
          <w:p>
            <w:pPr>
              <w:jc w:val="center"/>
              <w:spacing w:line="400" w:lineRule="exact"/>
              <w:rPr>
                <w:rFonts w:ascii="宋体" w:hAnsi="宋体" w:eastAsia="宋体" w:cs="Times New Roman"/>
                <w:sz w:val="24"/>
              </w:rPr>
            </w:pPr>
            <w:r>
              <w:rPr>
                <w:rFonts w:hint="eastAsia" w:ascii="宋体" w:hAnsi="宋体" w:eastAsia="宋体" w:cs="Times New Roman"/>
                <w:sz w:val="24"/>
              </w:rPr>
              <w:t xml:space="preserve">4</w:t>
            </w:r>
            <w:r/>
          </w:p>
        </w:tc>
      </w:tr>
    </w:tbl>
    <w:p>
      <w:pPr>
        <w:spacing w:line="600" w:lineRule="exact"/>
        <w:rPr>
          <w:rFonts w:ascii="黑体" w:hAnsi="黑体" w:eastAsia="黑体" w:cs="Times New Roman"/>
          <w:sz w:val="28"/>
          <w:szCs w:val="28"/>
        </w:rPr>
      </w:pPr>
      <w:r>
        <w:rPr>
          <w:rFonts w:ascii="黑体" w:hAnsi="黑体" w:eastAsia="黑体" w:cs="Times New Roman"/>
          <w:sz w:val="28"/>
          <w:szCs w:val="28"/>
        </w:rPr>
      </w:r>
      <w:bookmarkEnd w:id="12"/>
      <w:r/>
      <w:r/>
    </w:p>
    <w:p>
      <w:pPr>
        <w:spacing w:line="400" w:lineRule="exact"/>
        <w:rPr>
          <w:rFonts w:ascii="黑体" w:hAnsi="黑体" w:eastAsia="黑体" w:cs="Times New Roman"/>
          <w:sz w:val="28"/>
          <w:szCs w:val="28"/>
        </w:rPr>
        <w:sectPr>
          <w:footnotePr/>
          <w:endnotePr/>
          <w:type w:val="nextPage"/>
          <w:pgSz w:w="11906" w:h="16838" w:orient="portrait"/>
          <w:pgMar w:top="1247" w:right="1247" w:bottom="1247" w:left="1247" w:header="680" w:footer="992" w:gutter="0"/>
          <w:cols w:num="1" w:sep="0" w:space="720" w:equalWidth="1"/>
          <w:docGrid w:linePitch="360"/>
        </w:sectPr>
      </w:pPr>
      <w:r>
        <w:rPr>
          <w:rFonts w:ascii="黑体" w:hAnsi="黑体" w:eastAsia="黑体" w:cs="Times New Roman"/>
          <w:sz w:val="28"/>
          <w:szCs w:val="28"/>
        </w:rPr>
      </w:r>
      <w:r/>
    </w:p>
    <w:p>
      <w:pPr>
        <w:pStyle w:val="873"/>
        <w:outlineLvl w:val="9"/>
      </w:pPr>
      <w:r/>
      <w:r/>
    </w:p>
    <w:p>
      <w:pPr>
        <w:pStyle w:val="873"/>
      </w:pPr>
      <w:r/>
      <w:bookmarkStart w:id="68" w:name="_Toc12146"/>
      <w:r>
        <w:rPr>
          <w:rFonts w:hint="eastAsia"/>
        </w:rPr>
        <w:t xml:space="preserve">第五章　合同书（格式）</w:t>
      </w:r>
      <w:bookmarkEnd w:id="68"/>
      <w:r/>
      <w:r/>
    </w:p>
    <w:p>
      <w:pPr>
        <w:spacing w:line="400" w:lineRule="exact"/>
        <w:rPr>
          <w:rFonts w:ascii="宋体" w:hAnsi="宋体" w:eastAsia="宋体" w:cs="Times New Roman"/>
          <w:bCs/>
          <w:sz w:val="24"/>
          <w:szCs w:val="24"/>
        </w:rPr>
      </w:pPr>
      <w:r/>
      <w:bookmarkStart w:id="69" w:name="_Toc251268363"/>
      <w:r/>
      <w:r/>
    </w:p>
    <w:p>
      <w:pPr>
        <w:spacing w:line="400" w:lineRule="exact"/>
        <w:rPr>
          <w:rFonts w:ascii="宋体" w:hAnsi="宋体" w:eastAsia="宋体" w:cs="Times New Roman"/>
          <w:bCs/>
          <w:sz w:val="24"/>
          <w:szCs w:val="24"/>
        </w:rPr>
      </w:pPr>
      <w:r>
        <w:rPr>
          <w:rFonts w:ascii="宋体" w:hAnsi="宋体" w:eastAsia="宋体" w:cs="Times New Roman"/>
          <w:bCs/>
          <w:sz w:val="24"/>
          <w:szCs w:val="24"/>
        </w:rPr>
      </w:r>
      <w:r/>
    </w:p>
    <w:p>
      <w:pPr>
        <w:spacing w:line="400" w:lineRule="exact"/>
        <w:rPr>
          <w:rFonts w:ascii="宋体" w:hAnsi="宋体" w:eastAsia="宋体" w:cs="Times New Roman"/>
          <w:bCs/>
          <w:sz w:val="24"/>
          <w:szCs w:val="24"/>
          <w:u w:val="single"/>
        </w:rPr>
      </w:pPr>
      <w:r>
        <w:rPr>
          <w:rFonts w:hint="eastAsia" w:ascii="宋体" w:hAnsi="宋体" w:eastAsia="宋体" w:cs="Times New Roman"/>
          <w:bCs/>
          <w:sz w:val="24"/>
          <w:szCs w:val="24"/>
        </w:rPr>
        <w:t xml:space="preserve">甲方（采购单位）：</w:t>
      </w:r>
      <w:r>
        <w:rPr>
          <w:rFonts w:hint="eastAsia" w:ascii="宋体" w:hAnsi="宋体" w:eastAsia="宋体" w:cs="Times New Roman"/>
          <w:bCs/>
          <w:sz w:val="24"/>
          <w:szCs w:val="24"/>
          <w:u w:val="single"/>
        </w:rPr>
        <w:t xml:space="preserve">　　　　　　　　　　　　　　　　　　</w:t>
      </w:r>
      <w:r/>
    </w:p>
    <w:p>
      <w:pPr>
        <w:spacing w:line="400" w:lineRule="exact"/>
        <w:rPr>
          <w:rFonts w:ascii="宋体" w:hAnsi="宋体" w:eastAsia="宋体" w:cs="Times New Roman"/>
          <w:bCs/>
          <w:sz w:val="24"/>
          <w:szCs w:val="24"/>
          <w:u w:val="single"/>
        </w:rPr>
      </w:pPr>
      <w:r>
        <w:rPr>
          <w:rFonts w:hint="eastAsia" w:ascii="宋体" w:hAnsi="宋体" w:eastAsia="宋体" w:cs="Times New Roman"/>
          <w:bCs/>
          <w:sz w:val="24"/>
          <w:szCs w:val="24"/>
        </w:rPr>
        <w:t xml:space="preserve">乙方（中标单位）：</w:t>
      </w:r>
      <w:r>
        <w:rPr>
          <w:rFonts w:hint="eastAsia" w:ascii="宋体" w:hAnsi="宋体" w:eastAsia="宋体" w:cs="Times New Roman"/>
          <w:bCs/>
          <w:sz w:val="24"/>
          <w:szCs w:val="24"/>
          <w:u w:val="single"/>
        </w:rPr>
        <w:t xml:space="preserve">　　　　　　　　　　　　　　　　　　</w:t>
      </w:r>
      <w:r/>
    </w:p>
    <w:p>
      <w:pPr>
        <w:jc w:val="center"/>
        <w:spacing w:line="400" w:lineRule="exact"/>
        <w:rPr>
          <w:rFonts w:ascii="宋体" w:hAnsi="宋体" w:eastAsia="宋体" w:cs="Times New Roman"/>
          <w:b/>
          <w:sz w:val="28"/>
          <w:szCs w:val="28"/>
          <w:lang w:val="de-DE"/>
        </w:rPr>
      </w:pPr>
      <w:r>
        <w:rPr>
          <w:rFonts w:ascii="宋体" w:hAnsi="宋体" w:eastAsia="宋体" w:cs="Times New Roman"/>
          <w:b/>
          <w:sz w:val="28"/>
          <w:szCs w:val="28"/>
          <w:lang w:val="de-DE"/>
        </w:rPr>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lang w:val="zh-CN"/>
        </w:rPr>
        <w:t xml:space="preserve">根据《中华人民共和国政府采购法》、《中华人民共和国民法典》等法律法规的规定，甲乙双方按照江阴市政府采购中心的采购结果签订本合同。</w:t>
      </w:r>
      <w:r/>
    </w:p>
    <w:p>
      <w:pPr>
        <w:spacing w:line="400" w:lineRule="exact"/>
        <w:rPr>
          <w:rFonts w:ascii="楷体_GB2312" w:hAnsi="Times New Roman" w:eastAsia="楷体_GB2312" w:cs="Times New Roman"/>
          <w:sz w:val="24"/>
          <w:szCs w:val="24"/>
        </w:rPr>
      </w:pPr>
      <w:r>
        <w:rPr>
          <w:rFonts w:ascii="楷体_GB2312" w:hAnsi="Times New Roman" w:eastAsia="楷体_GB2312" w:cs="Times New Roman"/>
          <w:sz w:val="24"/>
          <w:szCs w:val="24"/>
        </w:rPr>
      </w:r>
      <w:r/>
    </w:p>
    <w:p>
      <w:pPr>
        <w:spacing w:line="400" w:lineRule="exact"/>
        <w:rPr>
          <w:rFonts w:ascii="黑体" w:hAnsi="黑体" w:eastAsia="黑体" w:cs="Times New Roman"/>
          <w:sz w:val="24"/>
          <w:szCs w:val="24"/>
        </w:rPr>
      </w:pPr>
      <w:r>
        <w:rPr>
          <w:rFonts w:hint="eastAsia" w:ascii="黑体" w:hAnsi="黑体" w:eastAsia="黑体" w:cs="Times New Roman"/>
          <w:sz w:val="24"/>
          <w:szCs w:val="24"/>
        </w:rPr>
        <w:t xml:space="preserve">第一条　采购内容</w:t>
      </w:r>
      <w:r/>
    </w:p>
    <w:p>
      <w:pPr>
        <w:ind w:firstLine="480"/>
        <w:spacing w:line="400" w:lineRule="exact"/>
        <w:rPr>
          <w:rFonts w:ascii="宋体" w:hAnsi="宋体" w:eastAsia="宋体" w:cs="Times New Roman"/>
          <w:sz w:val="24"/>
          <w:szCs w:val="24"/>
          <w:u w:val="single"/>
        </w:rPr>
      </w:pPr>
      <w:r>
        <w:rPr>
          <w:rFonts w:hint="eastAsia" w:ascii="宋体" w:hAnsi="宋体" w:eastAsia="宋体" w:cs="Times New Roman"/>
          <w:sz w:val="24"/>
          <w:szCs w:val="24"/>
        </w:rPr>
        <w:t xml:space="preserve">1、项目名称（项目编号）：</w:t>
      </w:r>
      <w:r>
        <w:rPr>
          <w:rFonts w:hint="eastAsia" w:ascii="宋体" w:hAnsi="宋体" w:eastAsia="宋体" w:cs="Times New Roman"/>
          <w:sz w:val="24"/>
          <w:szCs w:val="24"/>
          <w:u w:val="single"/>
        </w:rPr>
        <w:t xml:space="preserve">　　　　　　　　　　　　　　　　　　　　</w:t>
      </w:r>
      <w:r/>
    </w:p>
    <w:p>
      <w:pPr>
        <w:ind w:firstLine="480"/>
        <w:spacing w:line="400" w:lineRule="exact"/>
        <w:rPr>
          <w:rFonts w:ascii="宋体" w:hAnsi="宋体" w:eastAsia="宋体" w:cs="Times New Roman"/>
          <w:sz w:val="24"/>
          <w:szCs w:val="24"/>
          <w:u w:val="single"/>
        </w:rPr>
      </w:pPr>
      <w:r>
        <w:rPr>
          <w:rFonts w:hint="eastAsia" w:ascii="宋体" w:hAnsi="宋体" w:eastAsia="宋体" w:cs="Times New Roman"/>
          <w:sz w:val="24"/>
          <w:szCs w:val="24"/>
        </w:rPr>
        <w:t xml:space="preserve">2、项目采购清单（包含货物名称、规格、型号、数量、价格）：</w:t>
      </w:r>
      <w:r>
        <w:rPr>
          <w:rFonts w:hint="eastAsia" w:ascii="宋体" w:hAnsi="宋体" w:eastAsia="宋体" w:cs="Times New Roman"/>
          <w:sz w:val="24"/>
          <w:szCs w:val="24"/>
          <w:u w:val="single"/>
        </w:rPr>
        <w:t xml:space="preserve">　　　　　　　　　　　　　　　　　　　　　　　　</w:t>
      </w:r>
      <w:r/>
    </w:p>
    <w:p>
      <w:pPr>
        <w:ind w:firstLine="480"/>
        <w:spacing w:line="400" w:lineRule="exact"/>
        <w:rPr>
          <w:rFonts w:ascii="宋体" w:hAnsi="宋体" w:eastAsia="宋体" w:cs="Times New Roman"/>
          <w:sz w:val="24"/>
          <w:szCs w:val="24"/>
          <w:u w:val="single"/>
        </w:rPr>
      </w:pPr>
      <w:r>
        <w:rPr>
          <w:rFonts w:hint="eastAsia" w:ascii="宋体" w:hAnsi="宋体" w:eastAsia="宋体" w:cs="Times New Roman"/>
          <w:sz w:val="24"/>
          <w:szCs w:val="24"/>
        </w:rPr>
        <w:t xml:space="preserve">3、其他：</w:t>
      </w:r>
      <w:r>
        <w:rPr>
          <w:rFonts w:hint="eastAsia" w:ascii="宋体" w:hAnsi="宋体" w:eastAsia="宋体" w:cs="Times New Roman"/>
          <w:sz w:val="24"/>
          <w:szCs w:val="24"/>
          <w:u w:val="single"/>
        </w:rPr>
        <w:t xml:space="preserve">　　　　　　　　　　　　　　　　　　　　　　　　　　　　</w:t>
      </w:r>
      <w:r/>
    </w:p>
    <w:p>
      <w:pPr>
        <w:jc w:val="left"/>
        <w:spacing w:line="400" w:lineRule="exact"/>
        <w:rPr>
          <w:rFonts w:ascii="黑体" w:hAnsi="黑体" w:eastAsia="黑体" w:cs="Times New Roman"/>
          <w:sz w:val="24"/>
          <w:szCs w:val="24"/>
          <w:lang w:val="zh-CN"/>
        </w:rPr>
      </w:pPr>
      <w:r>
        <w:rPr>
          <w:rFonts w:hint="eastAsia" w:ascii="黑体" w:hAnsi="黑体" w:eastAsia="黑体" w:cs="Times New Roman"/>
          <w:bCs/>
          <w:sz w:val="24"/>
          <w:szCs w:val="24"/>
          <w:lang w:val="zh-CN"/>
        </w:rPr>
        <w:t xml:space="preserve">第二条　合同总价款</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本合同人民币总价款为</w:t>
      </w:r>
      <w:r>
        <w:rPr>
          <w:rFonts w:hint="eastAsia" w:ascii="宋体" w:hAnsi="宋体" w:eastAsia="宋体" w:cs="Times New Roman"/>
          <w:sz w:val="24"/>
          <w:szCs w:val="24"/>
          <w:u w:val="single"/>
          <w:lang w:val="zh-CN"/>
        </w:rPr>
        <w:t xml:space="preserve">                </w:t>
      </w:r>
      <w:r>
        <w:rPr>
          <w:rFonts w:hint="eastAsia" w:ascii="宋体" w:hAnsi="宋体" w:eastAsia="宋体" w:cs="Times New Roman"/>
          <w:sz w:val="24"/>
          <w:szCs w:val="24"/>
          <w:lang w:val="zh-CN"/>
        </w:rPr>
        <w:t xml:space="preserve">（小写），</w:t>
      </w:r>
      <w:r>
        <w:rPr>
          <w:rFonts w:hint="eastAsia" w:ascii="宋体" w:hAnsi="宋体" w:eastAsia="宋体" w:cs="Times New Roman"/>
          <w:sz w:val="24"/>
          <w:szCs w:val="24"/>
          <w:u w:val="single"/>
          <w:lang w:val="zh-CN"/>
        </w:rPr>
        <w:t xml:space="preserve">                </w:t>
      </w:r>
      <w:r>
        <w:rPr>
          <w:rFonts w:hint="eastAsia" w:ascii="宋体" w:hAnsi="宋体" w:eastAsia="宋体" w:cs="Times New Roman"/>
          <w:sz w:val="24"/>
          <w:szCs w:val="24"/>
          <w:lang w:val="zh-CN"/>
        </w:rPr>
        <w:t xml:space="preserve">（大写）。</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w:t>
      </w:r>
      <w:r>
        <w:rPr>
          <w:rFonts w:hint="eastAsia" w:ascii="宋体" w:hAnsi="宋体" w:eastAsia="宋体" w:cs="宋体"/>
          <w:bCs/>
          <w:sz w:val="24"/>
          <w:szCs w:val="24"/>
          <w:lang w:val="zh-CN"/>
        </w:rPr>
        <w:t xml:space="preserve">按实结算项目的结算金额以项目完成后审计部门的审计结果作为结算依据。</w:t>
      </w:r>
      <w:r>
        <w:rPr>
          <w:rFonts w:hint="eastAsia" w:ascii="宋体" w:hAnsi="宋体" w:eastAsia="宋体" w:cs="Times New Roman"/>
          <w:sz w:val="24"/>
          <w:szCs w:val="24"/>
        </w:rPr>
        <w:t xml:space="preserve">）</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分项价款如下：</w:t>
      </w:r>
      <w:r/>
    </w:p>
    <w:p>
      <w:pPr>
        <w:jc w:val="left"/>
        <w:spacing w:line="400" w:lineRule="exact"/>
        <w:rPr>
          <w:rFonts w:ascii="宋体" w:hAnsi="宋体" w:eastAsia="宋体" w:cs="Times New Roman"/>
          <w:sz w:val="24"/>
          <w:szCs w:val="24"/>
          <w:u w:val="single"/>
        </w:rPr>
      </w:pPr>
      <w:r>
        <w:rPr>
          <w:rFonts w:hint="eastAsia" w:ascii="宋体" w:hAnsi="宋体" w:eastAsia="宋体" w:cs="Times New Roman"/>
          <w:sz w:val="24"/>
          <w:szCs w:val="24"/>
          <w:u w:val="single"/>
        </w:rPr>
        <w:t xml:space="preserve">　　　　　　　　　　　　　　　　　　　　　　　　　　　　　　　　　　　</w:t>
      </w:r>
      <w:r/>
    </w:p>
    <w:p>
      <w:pPr>
        <w:jc w:val="left"/>
        <w:spacing w:line="400" w:lineRule="exact"/>
        <w:rPr>
          <w:rFonts w:ascii="宋体" w:hAnsi="宋体" w:eastAsia="宋体" w:cs="Times New Roman"/>
          <w:sz w:val="24"/>
          <w:szCs w:val="24"/>
          <w:u w:val="single"/>
        </w:rPr>
      </w:pPr>
      <w:r>
        <w:rPr>
          <w:rFonts w:hint="eastAsia" w:ascii="宋体" w:hAnsi="宋体" w:eastAsia="宋体" w:cs="Times New Roman"/>
          <w:sz w:val="24"/>
          <w:szCs w:val="24"/>
          <w:u w:val="single"/>
        </w:rPr>
        <w:t xml:space="preserve">　　　　　　　　　　　　　　　　　　　　　　　　　　　　　　　　　　　</w:t>
      </w:r>
      <w:r/>
    </w:p>
    <w:p>
      <w:pPr>
        <w:ind w:firstLine="480"/>
        <w:jc w:val="left"/>
        <w:spacing w:line="400" w:lineRule="exact"/>
        <w:rPr>
          <w:rFonts w:ascii="宋体" w:hAnsi="宋体" w:eastAsia="宋体" w:cs="Times New Roman"/>
          <w:b/>
          <w:sz w:val="24"/>
          <w:szCs w:val="24"/>
        </w:rPr>
      </w:pPr>
      <w:r>
        <w:rPr>
          <w:rFonts w:hint="eastAsia" w:ascii="宋体" w:hAnsi="宋体" w:eastAsia="宋体" w:cs="Times New Roman"/>
          <w:sz w:val="24"/>
          <w:szCs w:val="24"/>
        </w:rPr>
        <w:t xml:space="preserve">本合同总价款是货物设计、制造、包装、仓储、运输装卸</w:t>
      </w:r>
      <w:r>
        <w:rPr>
          <w:rFonts w:hint="eastAsia" w:ascii="宋体" w:hAnsi="宋体" w:eastAsia="宋体" w:cs="楷体_GB2312"/>
          <w:sz w:val="24"/>
          <w:szCs w:val="24"/>
        </w:rPr>
        <w:t xml:space="preserve">、保险、安装、调试及其材料及验收合格之前保管及保修期内备品备件、专用工具、伴随服务、技术图纸资料、人员培训发生的所有含税费用、支付给员工的工资和国家强制缴纳的各种社会保障资金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eastAsia="宋体" w:cs="Times New Roman"/>
          <w:bCs/>
          <w:sz w:val="24"/>
          <w:szCs w:val="24"/>
        </w:rPr>
        <w:t xml:space="preserve">，以</w:t>
      </w:r>
      <w:r>
        <w:rPr>
          <w:rFonts w:hint="eastAsia" w:ascii="宋体" w:hAnsi="宋体" w:eastAsia="宋体" w:cs="Times New Roman"/>
          <w:sz w:val="24"/>
          <w:szCs w:val="24"/>
        </w:rPr>
        <w:t xml:space="preserve">及投标人认为需要的其他费用等。</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本合同总价款还包含乙方应当提供的伴随服务/售后服务费用。</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本合同执行期间合同总价款不变。</w:t>
      </w:r>
      <w:r>
        <w:rPr>
          <w:rFonts w:hint="eastAsia" w:ascii="宋体" w:hAnsi="宋体" w:eastAsia="宋体" w:cs="Times New Roman"/>
          <w:sz w:val="24"/>
          <w:szCs w:val="24"/>
          <w:lang w:val="zh-CN"/>
        </w:rPr>
        <w:t xml:space="preserve">（有另行规定的除外。）</w:t>
      </w:r>
      <w:r/>
    </w:p>
    <w:p>
      <w:pPr>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第三条  履约保证金的缴纳和退还</w:t>
      </w:r>
      <w:r/>
    </w:p>
    <w:p>
      <w:pPr>
        <w:ind w:firstLine="480"/>
        <w:spacing w:line="400" w:lineRule="exact"/>
        <w:tabs>
          <w:tab w:val="left" w:pos="945" w:leader="none"/>
          <w:tab w:val="left" w:pos="2100" w:leader="none"/>
        </w:tabs>
        <w:rPr>
          <w:rFonts w:ascii="宋体" w:hAnsi="宋体" w:eastAsia="宋体" w:cs="Times New Roman"/>
          <w:bCs/>
          <w:sz w:val="24"/>
          <w:szCs w:val="24"/>
        </w:rPr>
      </w:pPr>
      <w:r>
        <w:rPr>
          <w:rFonts w:hint="eastAsia" w:ascii="宋体" w:hAnsi="宋体" w:eastAsia="宋体" w:cs="Times New Roman"/>
          <w:bCs/>
          <w:sz w:val="24"/>
          <w:szCs w:val="24"/>
        </w:rPr>
        <w:t xml:space="preserve">本项目是/否向采购人缴纳履约保证金：</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 。</w:t>
      </w:r>
      <w:r/>
    </w:p>
    <w:p>
      <w:pPr>
        <w:ind w:firstLine="480"/>
        <w:spacing w:line="400" w:lineRule="exact"/>
        <w:tabs>
          <w:tab w:val="left" w:pos="945" w:leader="none"/>
          <w:tab w:val="left" w:pos="2100" w:leader="none"/>
        </w:tabs>
        <w:rPr>
          <w:rFonts w:ascii="宋体" w:hAnsi="宋体" w:eastAsia="宋体" w:cs="Times New Roman"/>
          <w:bCs/>
          <w:sz w:val="24"/>
          <w:szCs w:val="24"/>
        </w:rPr>
      </w:pPr>
      <w:r>
        <w:rPr>
          <w:rFonts w:hint="eastAsia" w:ascii="宋体" w:hAnsi="宋体" w:eastAsia="宋体" w:cs="Times New Roman"/>
          <w:bCs/>
          <w:sz w:val="24"/>
          <w:szCs w:val="24"/>
        </w:rPr>
        <w:t xml:space="preserve">履约保证金缴纳金额：</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元。</w:t>
      </w:r>
      <w:r/>
    </w:p>
    <w:p>
      <w:pPr>
        <w:ind w:firstLine="480"/>
        <w:spacing w:line="400" w:lineRule="exact"/>
        <w:tabs>
          <w:tab w:val="left" w:pos="945" w:leader="none"/>
          <w:tab w:val="left" w:pos="2100" w:leader="none"/>
        </w:tabs>
        <w:rPr>
          <w:rFonts w:ascii="宋体" w:hAnsi="宋体" w:eastAsia="宋体" w:cs="Times New Roman"/>
          <w:bCs/>
          <w:sz w:val="24"/>
          <w:szCs w:val="24"/>
        </w:rPr>
      </w:pPr>
      <w:r>
        <w:rPr>
          <w:rFonts w:hint="eastAsia" w:ascii="宋体" w:hAnsi="宋体" w:eastAsia="宋体" w:cs="Times New Roman"/>
          <w:bCs/>
          <w:sz w:val="24"/>
          <w:szCs w:val="24"/>
        </w:rPr>
        <w:t xml:space="preserve">履约保证金的缴纳时间：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，缴纳形式：</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p>
    <w:p>
      <w:pPr>
        <w:ind w:firstLine="480"/>
        <w:spacing w:line="400" w:lineRule="exact"/>
        <w:tabs>
          <w:tab w:val="left" w:pos="945" w:leader="none"/>
          <w:tab w:val="left" w:pos="2100" w:leader="none"/>
        </w:tabs>
        <w:rPr>
          <w:rFonts w:ascii="宋体" w:hAnsi="宋体" w:eastAsia="宋体" w:cs="Times New Roman"/>
          <w:bCs/>
          <w:sz w:val="24"/>
          <w:szCs w:val="24"/>
        </w:rPr>
      </w:pPr>
      <w:r>
        <w:rPr>
          <w:rFonts w:hint="eastAsia" w:ascii="宋体" w:hAnsi="宋体" w:eastAsia="宋体" w:cs="Times New Roman"/>
          <w:bCs/>
          <w:sz w:val="24"/>
          <w:szCs w:val="24"/>
        </w:rPr>
        <w:t xml:space="preserve">履约保证金的退付时间：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，退付办法：</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p>
    <w:p>
      <w:pPr>
        <w:ind w:firstLine="480"/>
        <w:spacing w:line="400" w:lineRule="exact"/>
        <w:tabs>
          <w:tab w:val="left" w:pos="945" w:leader="none"/>
          <w:tab w:val="left" w:pos="2100" w:leader="none"/>
        </w:tabs>
        <w:rPr>
          <w:rFonts w:ascii="宋体" w:hAnsi="宋体" w:eastAsia="宋体" w:cs="Times New Roman"/>
          <w:bCs/>
          <w:sz w:val="24"/>
          <w:szCs w:val="24"/>
        </w:rPr>
      </w:pPr>
      <w:r>
        <w:rPr>
          <w:rFonts w:hint="eastAsia" w:ascii="宋体" w:hAnsi="宋体" w:eastAsia="宋体" w:cs="Times New Roman"/>
          <w:bCs/>
          <w:sz w:val="24"/>
          <w:szCs w:val="24"/>
        </w:rPr>
        <w:t xml:space="preserve">履约保证金不予退还的情形：</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p>
    <w:p>
      <w:pPr>
        <w:ind w:firstLine="480"/>
        <w:spacing w:line="400" w:lineRule="exact"/>
        <w:tabs>
          <w:tab w:val="left" w:pos="945" w:leader="none"/>
          <w:tab w:val="left" w:pos="2100" w:leader="none"/>
        </w:tabs>
        <w:rPr>
          <w:rFonts w:ascii="宋体" w:hAnsi="Times New Roman" w:eastAsia="宋体" w:cs="Times New Roman"/>
          <w:bCs/>
          <w:sz w:val="24"/>
          <w:szCs w:val="24"/>
        </w:rPr>
      </w:pPr>
      <w:r>
        <w:rPr>
          <w:rFonts w:hint="eastAsia" w:ascii="宋体" w:hAnsi="宋体" w:eastAsia="宋体" w:cs="Times New Roman"/>
          <w:bCs/>
          <w:sz w:val="24"/>
          <w:szCs w:val="24"/>
        </w:rPr>
        <w:t xml:space="preserve">逾期退还履约保证金的违约责任：</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p>
    <w:p>
      <w:pPr>
        <w:spacing w:line="400" w:lineRule="exact"/>
        <w:rPr>
          <w:rFonts w:ascii="黑体" w:hAnsi="黑体" w:eastAsia="黑体" w:cs="Times New Roman"/>
          <w:sz w:val="24"/>
          <w:szCs w:val="24"/>
          <w:lang w:val="zh-CN"/>
        </w:rPr>
      </w:pPr>
      <w:r>
        <w:rPr>
          <w:rFonts w:hint="eastAsia" w:ascii="黑体" w:hAnsi="黑体" w:eastAsia="黑体" w:cs="Times New Roman"/>
          <w:bCs/>
          <w:sz w:val="24"/>
          <w:szCs w:val="24"/>
          <w:lang w:val="zh-CN"/>
        </w:rPr>
        <w:t xml:space="preserve">第四条　组成本合同的有关文件</w:t>
      </w:r>
      <w:r/>
    </w:p>
    <w:p>
      <w:pPr>
        <w:ind w:firstLine="480"/>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下列关于本次采购活动方式相适应的文件及有关附件是本合同不可分割的组成部分，</w:t>
      </w:r>
      <w:r>
        <w:rPr>
          <w:rFonts w:hint="eastAsia" w:ascii="宋体" w:hAnsi="宋体" w:eastAsia="宋体" w:cs="Times New Roman"/>
          <w:sz w:val="24"/>
          <w:szCs w:val="24"/>
          <w:lang w:val="zh-CN"/>
        </w:rPr>
        <w:t xml:space="preserve">与本合同具有同等法律效力，这些文件包括但不限于：</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（1）招标文件；</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（2）投标文件；</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（3）中标通知书；</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（4）中标人在投标、评标过程中所作其它有关承诺、声明、书面澄清；</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（5）甲乙双方商定的其他文件等。</w:t>
      </w:r>
      <w:r/>
    </w:p>
    <w:p>
      <w:pPr>
        <w:jc w:val="left"/>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第五条　权利保证</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乙方应保证甲方在合同履行期限内不受第三方提出侵犯其专利权、版权、商标权或其他权利的起诉。一旦出现侵权，乙方应承担全部责任。</w:t>
      </w:r>
      <w:r/>
    </w:p>
    <w:p>
      <w:pPr>
        <w:jc w:val="left"/>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第六条　质量保证</w:t>
      </w:r>
      <w:r/>
    </w:p>
    <w:p>
      <w:pPr>
        <w:ind w:firstLine="48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1、乙方所提供的货物的技术规格应与招标文件与投标文件规定的技术规格相一致；若技术性能无特殊说明，则按国家有关部门最新颁布的标准及规范为准。</w:t>
      </w:r>
      <w:r/>
    </w:p>
    <w:p>
      <w:pPr>
        <w:ind w:firstLine="48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480"/>
        <w:jc w:val="left"/>
        <w:spacing w:line="400" w:lineRule="exact"/>
        <w:rPr>
          <w:rFonts w:ascii="宋体" w:hAnsi="宋体" w:eastAsia="宋体" w:cs="Times New Roman"/>
          <w:bCs/>
          <w:sz w:val="24"/>
          <w:szCs w:val="24"/>
          <w:u w:val="single"/>
          <w:lang w:val="zh-CN"/>
        </w:rPr>
      </w:pPr>
      <w:r>
        <w:rPr>
          <w:rFonts w:hint="eastAsia" w:ascii="宋体" w:hAnsi="宋体" w:eastAsia="宋体" w:cs="Times New Roman"/>
          <w:bCs/>
          <w:sz w:val="24"/>
          <w:szCs w:val="24"/>
          <w:lang w:val="zh-CN"/>
        </w:rPr>
        <w:t xml:space="preserve">3、乙方承诺的质量保证：</w:t>
      </w:r>
      <w:r>
        <w:rPr>
          <w:rFonts w:hint="eastAsia" w:ascii="宋体" w:hAnsi="宋体" w:eastAsia="宋体" w:cs="Times New Roman"/>
          <w:bCs/>
          <w:sz w:val="24"/>
          <w:szCs w:val="24"/>
          <w:u w:val="single"/>
          <w:lang w:val="zh-CN"/>
        </w:rPr>
        <w:t xml:space="preserve">　　　　　　　　　　　　　　　　　　　　　</w:t>
      </w:r>
      <w:r/>
    </w:p>
    <w:p>
      <w:pPr>
        <w:jc w:val="left"/>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第七条　包装要求</w:t>
      </w:r>
      <w:r/>
    </w:p>
    <w:p>
      <w:pPr>
        <w:ind w:firstLine="480"/>
        <w:jc w:val="left"/>
        <w:spacing w:line="400" w:lineRule="exact"/>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480"/>
        <w:jc w:val="left"/>
        <w:spacing w:line="400" w:lineRule="exact"/>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2、每一包装单元内应附详细的装箱单和质量合格凭证。</w:t>
      </w:r>
      <w:r/>
    </w:p>
    <w:p>
      <w:pPr>
        <w:jc w:val="left"/>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第八条　交货及验收</w:t>
      </w:r>
      <w:r/>
    </w:p>
    <w:p>
      <w:pPr>
        <w:ind w:firstLine="480"/>
        <w:jc w:val="left"/>
        <w:spacing w:line="400" w:lineRule="exact"/>
        <w:rPr>
          <w:rFonts w:ascii="宋体" w:hAnsi="宋体" w:eastAsia="宋体" w:cs="Times New Roman"/>
          <w:bCs/>
          <w:sz w:val="24"/>
          <w:szCs w:val="24"/>
          <w:u w:val="single"/>
          <w:lang w:val="zh-CN"/>
        </w:rPr>
      </w:pPr>
      <w:r>
        <w:rPr>
          <w:rFonts w:hint="eastAsia" w:ascii="宋体" w:hAnsi="宋体" w:eastAsia="宋体" w:cs="Times New Roman"/>
          <w:bCs/>
          <w:sz w:val="24"/>
          <w:szCs w:val="24"/>
          <w:lang w:val="zh-CN"/>
        </w:rPr>
        <w:t xml:space="preserve">1、交货地点、方式及日期：</w:t>
      </w:r>
      <w:r>
        <w:rPr>
          <w:rFonts w:hint="eastAsia" w:ascii="宋体" w:hAnsi="宋体" w:eastAsia="宋体" w:cs="Times New Roman"/>
          <w:bCs/>
          <w:sz w:val="24"/>
          <w:szCs w:val="24"/>
          <w:u w:val="single"/>
          <w:lang w:val="zh-CN"/>
        </w:rPr>
        <w:t xml:space="preserve">　　　　　　　　　　　　　　　　　　　　　　　</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2、验收标准：按招标文件所规定的采购标准和乙方投标文件的承诺，根据实际按照《江苏省政府采购履约验收管理办法》（苏财</w:t>
      </w:r>
      <w:r>
        <w:rPr>
          <w:rFonts w:hint="eastAsia" w:ascii="宋体" w:hAnsi="宋体" w:eastAsia="宋体" w:cs="Times New Roman"/>
          <w:sz w:val="24"/>
          <w:szCs w:val="24"/>
        </w:rPr>
        <w:t xml:space="preserve">规</w:t>
      </w:r>
      <w:r>
        <w:rPr>
          <w:rFonts w:hint="eastAsia" w:ascii="宋体" w:hAnsi="宋体" w:eastAsia="宋体" w:cs="Times New Roman"/>
          <w:sz w:val="24"/>
          <w:szCs w:val="24"/>
        </w:rPr>
        <w:t xml:space="preserve">〔2024〕7号）组织验收，费用由</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承担。</w:t>
      </w:r>
      <w:r/>
    </w:p>
    <w:p>
      <w:pPr>
        <w:jc w:val="left"/>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第九条　伴随服务／售后服务</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1、乙方应按照国家有关法律法规规章和“三包”规定以及招标文件及投标文件所规定及承诺的“服务承诺”提供服务。</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2、除前款规定外，乙方还应提供下列服务：</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（1）货物的现场安装、调试、运行、维护等；</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（2）对甲方人员进行免费培训。</w:t>
      </w:r>
      <w:r/>
    </w:p>
    <w:p>
      <w:pPr>
        <w:ind w:firstLine="480"/>
        <w:jc w:val="left"/>
        <w:spacing w:line="400" w:lineRule="exact"/>
        <w:rPr>
          <w:rFonts w:ascii="宋体" w:hAnsi="宋体" w:eastAsia="宋体" w:cs="Times New Roman"/>
          <w:bCs/>
          <w:sz w:val="24"/>
          <w:szCs w:val="24"/>
          <w:u w:val="single"/>
          <w:lang w:val="zh-CN"/>
        </w:rPr>
      </w:pPr>
      <w:r>
        <w:rPr>
          <w:rFonts w:hint="eastAsia" w:ascii="宋体" w:hAnsi="宋体" w:eastAsia="宋体" w:cs="Times New Roman"/>
          <w:bCs/>
          <w:sz w:val="24"/>
          <w:szCs w:val="24"/>
          <w:lang w:val="zh-CN"/>
        </w:rPr>
        <w:t xml:space="preserve">3、乙方承诺的售后服务：</w:t>
      </w:r>
      <w:r>
        <w:rPr>
          <w:rFonts w:hint="eastAsia" w:ascii="宋体" w:hAnsi="宋体" w:eastAsia="宋体" w:cs="Times New Roman"/>
          <w:bCs/>
          <w:sz w:val="24"/>
          <w:szCs w:val="24"/>
          <w:u w:val="single"/>
          <w:lang w:val="zh-CN"/>
        </w:rPr>
        <w:t xml:space="preserve">　　　　　　　　　　　　　　　　　　　　　</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4、若招标文件中不包含有关伴随服务或售后服务的承诺，双方作如下约定：</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（1）乙方应为甲方提供免费培训服务，并指派专人负责与甲方联系售后服务事宜。主</w:t>
      </w:r>
      <w:r>
        <w:rPr>
          <w:rFonts w:hint="eastAsia" w:ascii="宋体" w:hAnsi="宋体" w:eastAsia="宋体" w:cs="Times New Roman"/>
          <w:sz w:val="24"/>
          <w:szCs w:val="24"/>
          <w:lang w:val="zh-CN"/>
        </w:rPr>
        <w:t xml:space="preserve">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（2）所购货物按乙方投标承诺提供免费维护和质量保证，保修费用计入总价。</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（3）保修期内，乙方负责对其提供的货物整机进行维修和系统维护，不再收取任何费用，但不可抗力（如火灾、雷击等）造成的故障除外。</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（4）货物故障报修的响应时间按乙方投标承诺执行。</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（5）若货物故障在检修8工作小时后仍无法排除，乙方应在48小时内免费提供不低于故障货物规格型号档次的备用货物供甲方使用，直至故障货物修复。</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（6）所有货物保修服务方式均为乙方上门保修，即由乙方派员到货物使用现场维修，由此产生的一切费用均由乙方承担。</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（7）保修期后的货物维护由双方协商再定。</w:t>
      </w:r>
      <w:r/>
    </w:p>
    <w:p>
      <w:pPr>
        <w:jc w:val="left"/>
        <w:spacing w:line="400" w:lineRule="exact"/>
        <w:rPr>
          <w:rFonts w:ascii="黑体" w:hAnsi="黑体" w:eastAsia="黑体" w:cs="Times New Roman"/>
          <w:bCs/>
          <w:i/>
          <w:iCs/>
          <w:sz w:val="24"/>
          <w:szCs w:val="24"/>
          <w:lang w:val="zh-CN"/>
        </w:rPr>
      </w:pPr>
      <w:r>
        <w:rPr>
          <w:rFonts w:hint="eastAsia" w:ascii="黑体" w:hAnsi="黑体" w:eastAsia="黑体" w:cs="Times New Roman"/>
          <w:bCs/>
          <w:sz w:val="24"/>
          <w:szCs w:val="24"/>
          <w:lang w:val="zh-CN"/>
        </w:rPr>
        <w:t xml:space="preserve">第十条　付款</w:t>
      </w:r>
      <w:r/>
    </w:p>
    <w:p>
      <w:pPr>
        <w:ind w:firstLine="42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1、本合同项下所有款项均以人民币支付，乙方向甲方开具发票。</w:t>
      </w:r>
      <w:r/>
    </w:p>
    <w:p>
      <w:pPr>
        <w:ind w:firstLine="420"/>
        <w:jc w:val="left"/>
        <w:spacing w:line="400" w:lineRule="exact"/>
        <w:rPr>
          <w:rFonts w:ascii="宋体" w:hAnsi="宋体" w:eastAsia="宋体" w:cs="Times New Roman"/>
          <w:sz w:val="24"/>
          <w:szCs w:val="24"/>
          <w:u w:val="single"/>
        </w:rPr>
      </w:pPr>
      <w:r>
        <w:rPr>
          <w:rFonts w:hint="eastAsia" w:ascii="宋体" w:hAnsi="宋体" w:eastAsia="宋体" w:cs="Times New Roman"/>
          <w:sz w:val="24"/>
          <w:szCs w:val="24"/>
          <w:lang w:val="zh-CN"/>
        </w:rPr>
        <w:t xml:space="preserve">2、付款方式：</w:t>
      </w:r>
      <w:r>
        <w:rPr>
          <w:rFonts w:hint="eastAsia" w:ascii="宋体" w:hAnsi="宋体" w:eastAsia="宋体" w:cs="Times New Roman"/>
          <w:sz w:val="24"/>
          <w:szCs w:val="24"/>
          <w:u w:val="single"/>
          <w:lang w:val="zh-CN"/>
        </w:rPr>
        <w:t xml:space="preserve">　                                      </w:t>
      </w:r>
      <w:r/>
    </w:p>
    <w:p>
      <w:pPr>
        <w:jc w:val="left"/>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第十一条　违约责任</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1、</w:t>
      </w:r>
      <w:r>
        <w:rPr>
          <w:rFonts w:hint="eastAsia" w:ascii="宋体" w:hAnsi="宋体" w:eastAsia="宋体" w:cs="Times New Roman"/>
          <w:sz w:val="24"/>
          <w:szCs w:val="24"/>
          <w:u w:val="single"/>
          <w:lang w:val="zh-CN"/>
        </w:rPr>
        <w:t xml:space="preserve">                                                                    </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2、</w:t>
      </w:r>
      <w:r>
        <w:rPr>
          <w:rFonts w:hint="eastAsia" w:ascii="宋体" w:hAnsi="宋体" w:eastAsia="宋体" w:cs="Times New Roman"/>
          <w:sz w:val="24"/>
          <w:szCs w:val="24"/>
          <w:u w:val="single"/>
          <w:lang w:val="zh-CN"/>
        </w:rPr>
        <w:t xml:space="preserve">                                                                    </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3、</w:t>
      </w:r>
      <w:r>
        <w:rPr>
          <w:rFonts w:hint="eastAsia" w:ascii="宋体" w:hAnsi="宋体" w:eastAsia="宋体" w:cs="Times New Roman"/>
          <w:sz w:val="24"/>
          <w:szCs w:val="24"/>
          <w:u w:val="single"/>
          <w:lang w:val="zh-CN"/>
        </w:rPr>
        <w:t xml:space="preserve">                                                                    </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4、</w:t>
      </w:r>
      <w:r>
        <w:rPr>
          <w:rFonts w:hint="eastAsia" w:ascii="宋体" w:hAnsi="宋体" w:eastAsia="宋体" w:cs="Times New Roman"/>
          <w:sz w:val="24"/>
          <w:szCs w:val="24"/>
          <w:u w:val="single"/>
          <w:lang w:val="zh-CN"/>
        </w:rPr>
        <w:t xml:space="preserve">                                                                    </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5、</w:t>
      </w:r>
      <w:r>
        <w:rPr>
          <w:rFonts w:hint="eastAsia" w:ascii="宋体" w:hAnsi="宋体" w:eastAsia="宋体" w:cs="Times New Roman"/>
          <w:sz w:val="24"/>
          <w:szCs w:val="24"/>
          <w:u w:val="single"/>
          <w:lang w:val="zh-CN"/>
        </w:rPr>
        <w:t xml:space="preserve">                                                                    </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6、</w:t>
      </w:r>
      <w:r>
        <w:rPr>
          <w:rFonts w:hint="eastAsia" w:ascii="宋体" w:hAnsi="宋体" w:eastAsia="宋体" w:cs="Times New Roman"/>
          <w:sz w:val="24"/>
          <w:szCs w:val="24"/>
          <w:u w:val="single"/>
          <w:lang w:val="zh-CN"/>
        </w:rPr>
        <w:t xml:space="preserve">                                                                    </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7、</w:t>
      </w:r>
      <w:r>
        <w:rPr>
          <w:rFonts w:hint="eastAsia" w:ascii="宋体" w:hAnsi="宋体" w:eastAsia="宋体" w:cs="Times New Roman"/>
          <w:sz w:val="24"/>
          <w:szCs w:val="24"/>
          <w:u w:val="single"/>
          <w:lang w:val="zh-CN"/>
        </w:rPr>
        <w:t xml:space="preserve">                                                                    </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8、</w:t>
      </w:r>
      <w:r>
        <w:rPr>
          <w:rFonts w:hint="eastAsia" w:ascii="宋体" w:hAnsi="宋体" w:eastAsia="宋体" w:cs="Times New Roman"/>
          <w:sz w:val="24"/>
          <w:szCs w:val="24"/>
          <w:u w:val="single"/>
          <w:lang w:val="zh-CN"/>
        </w:rPr>
        <w:t xml:space="preserve">                                                                    </w:t>
      </w:r>
      <w:r/>
    </w:p>
    <w:p>
      <w:pPr>
        <w:jc w:val="left"/>
        <w:spacing w:line="400" w:lineRule="exact"/>
        <w:widowControl/>
        <w:rPr>
          <w:rFonts w:ascii="黑体" w:hAnsi="黑体" w:eastAsia="黑体" w:cs="宋体"/>
          <w:bCs/>
          <w:sz w:val="24"/>
          <w:szCs w:val="24"/>
        </w:rPr>
      </w:pPr>
      <w:r>
        <w:rPr>
          <w:rFonts w:hint="eastAsia" w:ascii="黑体" w:hAnsi="黑体" w:eastAsia="黑体" w:cs="宋体"/>
          <w:bCs/>
          <w:sz w:val="24"/>
          <w:szCs w:val="24"/>
          <w:lang w:val="zh-CN"/>
        </w:rPr>
        <w:t xml:space="preserve">第十二条　</w:t>
      </w:r>
      <w:r>
        <w:rPr>
          <w:rFonts w:hint="eastAsia" w:ascii="黑体" w:hAnsi="黑体" w:eastAsia="黑体" w:cs="宋体"/>
          <w:bCs/>
          <w:sz w:val="24"/>
          <w:szCs w:val="24"/>
        </w:rPr>
        <w:t xml:space="preserve">不可抗力</w:t>
      </w:r>
      <w:r/>
    </w:p>
    <w:p>
      <w:pPr>
        <w:ind w:firstLine="480"/>
        <w:jc w:val="left"/>
        <w:spacing w:line="400" w:lineRule="exact"/>
        <w:widowControl/>
        <w:rPr>
          <w:rFonts w:ascii="宋体" w:hAnsi="宋体" w:eastAsia="宋体" w:cs="宋体"/>
          <w:bCs/>
          <w:sz w:val="24"/>
          <w:szCs w:val="24"/>
        </w:rPr>
      </w:pPr>
      <w:r>
        <w:rPr>
          <w:rFonts w:hint="eastAsia" w:ascii="宋体" w:hAnsi="宋体" w:eastAsia="宋体" w:cs="宋体"/>
          <w:bCs/>
          <w:sz w:val="24"/>
          <w:szCs w:val="24"/>
        </w:rPr>
        <w:t xml:space="preserve">1、不可抗力，是指不能预见、不能避免并不能克服的客观情况，如战争、动乱、瘟疫、严重火灾、洪水、地震、风暴或其他自然灾害等。</w:t>
      </w:r>
      <w:r/>
    </w:p>
    <w:p>
      <w:pPr>
        <w:ind w:firstLine="480"/>
        <w:jc w:val="left"/>
        <w:spacing w:line="400" w:lineRule="exact"/>
        <w:widowControl/>
        <w:rPr>
          <w:rFonts w:ascii="宋体" w:hAnsi="宋体" w:eastAsia="宋体" w:cs="宋体"/>
          <w:bCs/>
          <w:sz w:val="24"/>
          <w:szCs w:val="24"/>
        </w:rPr>
      </w:pPr>
      <w:r>
        <w:rPr>
          <w:rFonts w:hint="eastAsia" w:ascii="宋体" w:hAnsi="宋体" w:eastAsia="宋体" w:cs="宋体"/>
          <w:bCs/>
          <w:sz w:val="24"/>
          <w:szCs w:val="24"/>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w:t>
      </w:r>
      <w:r>
        <w:rPr>
          <w:rFonts w:hint="eastAsia" w:ascii="宋体" w:hAnsi="宋体" w:eastAsia="宋体" w:cs="宋体"/>
          <w:bCs/>
          <w:sz w:val="24"/>
          <w:szCs w:val="24"/>
        </w:rPr>
        <w:t xml:space="preserve">本义务</w:t>
      </w:r>
      <w:r>
        <w:rPr>
          <w:rFonts w:hint="eastAsia" w:ascii="宋体" w:hAnsi="宋体" w:eastAsia="宋体" w:cs="宋体"/>
          <w:bCs/>
          <w:sz w:val="24"/>
          <w:szCs w:val="24"/>
        </w:rPr>
        <w:t xml:space="preserve">而造成的相关损失由其承担。</w:t>
      </w:r>
      <w:r/>
    </w:p>
    <w:p>
      <w:pPr>
        <w:ind w:firstLine="480"/>
        <w:jc w:val="left"/>
        <w:spacing w:line="400" w:lineRule="exact"/>
        <w:widowControl/>
        <w:rPr>
          <w:rFonts w:ascii="宋体" w:hAnsi="宋体" w:eastAsia="宋体" w:cs="宋体"/>
          <w:bCs/>
          <w:sz w:val="24"/>
          <w:szCs w:val="24"/>
        </w:rPr>
      </w:pPr>
      <w:r>
        <w:rPr>
          <w:rFonts w:hint="eastAsia" w:ascii="宋体" w:hAnsi="宋体" w:eastAsia="宋体" w:cs="宋体"/>
          <w:bCs/>
          <w:sz w:val="24"/>
          <w:szCs w:val="24"/>
        </w:rPr>
        <w:t xml:space="preserve">3、发生不可抗力事件，任何一方均不对因不可抗力无法履行或迟延履行本合同义务而使另一方蒙受的任何损失承担责任，法律另有规定的除外。</w:t>
      </w:r>
      <w:r/>
    </w:p>
    <w:p>
      <w:pPr>
        <w:ind w:firstLine="480"/>
        <w:jc w:val="left"/>
        <w:spacing w:line="400" w:lineRule="exact"/>
        <w:widowControl/>
        <w:rPr>
          <w:rFonts w:ascii="宋体" w:hAnsi="宋体" w:eastAsia="宋体" w:cs="宋体"/>
          <w:bCs/>
          <w:sz w:val="24"/>
          <w:szCs w:val="24"/>
        </w:rPr>
      </w:pPr>
      <w:r>
        <w:rPr>
          <w:rFonts w:hint="eastAsia" w:ascii="宋体" w:hAnsi="宋体" w:eastAsia="宋体" w:cs="宋体"/>
          <w:bCs/>
          <w:sz w:val="24"/>
          <w:szCs w:val="24"/>
        </w:rPr>
        <w:t xml:space="preserve">4、合同各方应根据不可抗力对本合同履行的影响程度，协商确定是否终止本合同或是继续履行本合同。</w:t>
      </w:r>
      <w:r/>
    </w:p>
    <w:p>
      <w:pPr>
        <w:jc w:val="left"/>
        <w:spacing w:line="400" w:lineRule="exact"/>
        <w:widowControl/>
        <w:rPr>
          <w:rFonts w:ascii="黑体" w:hAnsi="黑体" w:eastAsia="黑体" w:cs="宋体"/>
          <w:bCs/>
          <w:sz w:val="24"/>
          <w:szCs w:val="24"/>
          <w:lang w:val="zh-CN"/>
        </w:rPr>
      </w:pPr>
      <w:r>
        <w:rPr>
          <w:rFonts w:hint="eastAsia" w:ascii="黑体" w:hAnsi="黑体" w:eastAsia="黑体" w:cs="宋体"/>
          <w:sz w:val="24"/>
          <w:szCs w:val="24"/>
        </w:rPr>
        <w:t xml:space="preserve">第十三条　</w:t>
      </w:r>
      <w:r>
        <w:rPr>
          <w:rFonts w:hint="eastAsia" w:ascii="黑体" w:hAnsi="黑体" w:eastAsia="黑体" w:cs="宋体"/>
          <w:bCs/>
          <w:sz w:val="24"/>
          <w:szCs w:val="24"/>
          <w:lang w:val="zh-CN"/>
        </w:rPr>
        <w:t xml:space="preserve">合同的变更和终止</w:t>
      </w:r>
      <w:r/>
    </w:p>
    <w:p>
      <w:pPr>
        <w:ind w:firstLine="480"/>
        <w:jc w:val="left"/>
        <w:spacing w:line="400" w:lineRule="exact"/>
        <w:widowControl/>
        <w:rPr>
          <w:rFonts w:ascii="宋体" w:hAnsi="宋体" w:eastAsia="宋体" w:cs="宋体"/>
          <w:sz w:val="24"/>
          <w:szCs w:val="24"/>
          <w:lang w:val="zh-CN"/>
        </w:rPr>
      </w:pPr>
      <w:r>
        <w:rPr>
          <w:rFonts w:hint="eastAsia" w:ascii="宋体" w:hAnsi="宋体" w:eastAsia="宋体" w:cs="Times New Roman"/>
          <w:sz w:val="24"/>
          <w:szCs w:val="24"/>
          <w:lang w:val="zh-CN"/>
        </w:rPr>
        <w:t xml:space="preserve">1</w:t>
      </w:r>
      <w:r>
        <w:rPr>
          <w:rFonts w:hint="eastAsia" w:ascii="宋体" w:hAnsi="宋体" w:eastAsia="宋体" w:cs="宋体"/>
          <w:sz w:val="24"/>
          <w:szCs w:val="24"/>
          <w:lang w:val="zh-CN"/>
        </w:rPr>
        <w:t xml:space="preserve">、除《政府采购法》第</w:t>
      </w:r>
      <w:r>
        <w:rPr>
          <w:rFonts w:hint="eastAsia" w:ascii="宋体" w:hAnsi="宋体" w:eastAsia="宋体" w:cs="Times New Roman"/>
          <w:sz w:val="24"/>
          <w:szCs w:val="24"/>
          <w:lang w:val="zh-CN"/>
        </w:rPr>
        <w:t xml:space="preserve">五十</w:t>
      </w:r>
      <w:r>
        <w:rPr>
          <w:rFonts w:hint="eastAsia" w:ascii="宋体" w:hAnsi="宋体" w:eastAsia="宋体" w:cs="宋体"/>
          <w:sz w:val="24"/>
          <w:szCs w:val="24"/>
          <w:lang w:val="zh-CN"/>
        </w:rPr>
        <w:t xml:space="preserve">条规定的情形外，本合同一经签订，甲乙双方不得擅自变更、中止或终止合同。</w:t>
      </w:r>
      <w:r/>
    </w:p>
    <w:p>
      <w:pPr>
        <w:ind w:firstLine="480"/>
        <w:jc w:val="left"/>
        <w:spacing w:line="400" w:lineRule="exact"/>
        <w:widowControl/>
        <w:rPr>
          <w:rFonts w:ascii="宋体" w:hAnsi="宋体" w:eastAsia="宋体" w:cs="宋体"/>
          <w:sz w:val="24"/>
          <w:szCs w:val="24"/>
        </w:rPr>
      </w:pPr>
      <w:r>
        <w:rPr>
          <w:rFonts w:hint="eastAsia" w:ascii="宋体" w:hAnsi="宋体" w:eastAsia="宋体" w:cs="Times New Roman"/>
          <w:sz w:val="24"/>
          <w:szCs w:val="24"/>
          <w:lang w:val="zh-CN"/>
        </w:rPr>
        <w:t xml:space="preserve">2</w:t>
      </w: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除发生法律规定的不能预见、不能避免并不能克服的客观情况外，甲乙双方不得放弃或拒绝履行合同。</w:t>
      </w:r>
      <w:r/>
    </w:p>
    <w:p>
      <w:pPr>
        <w:jc w:val="left"/>
        <w:spacing w:line="400" w:lineRule="exact"/>
        <w:widowControl/>
        <w:rPr>
          <w:rFonts w:ascii="黑体" w:hAnsi="黑体" w:eastAsia="黑体" w:cs="宋体"/>
          <w:sz w:val="24"/>
          <w:szCs w:val="24"/>
        </w:rPr>
      </w:pPr>
      <w:r>
        <w:rPr>
          <w:rFonts w:hint="eastAsia" w:ascii="黑体" w:hAnsi="黑体" w:eastAsia="黑体" w:cs="宋体"/>
          <w:sz w:val="24"/>
          <w:szCs w:val="24"/>
        </w:rPr>
        <w:t xml:space="preserve">第十四条  合同的终止</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本合同因下列原因而终止：</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（1）本合同正常履行完毕；</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（2）因不可抗力导致本合同无法履行或履行不必要；</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（3）任何一方行使解除权解除本合同；</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（4）合同的继续履行将损害国家利益和社会公共利益。</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除上述情形外，甲乙双方不得擅自终止合同。</w:t>
      </w:r>
      <w:r/>
    </w:p>
    <w:p>
      <w:pPr>
        <w:jc w:val="left"/>
        <w:spacing w:line="400" w:lineRule="exact"/>
        <w:widowControl/>
        <w:rPr>
          <w:rFonts w:ascii="黑体" w:hAnsi="黑体" w:eastAsia="黑体" w:cs="宋体"/>
          <w:bCs/>
          <w:sz w:val="24"/>
          <w:szCs w:val="24"/>
          <w:lang w:val="zh-CN"/>
        </w:rPr>
      </w:pPr>
      <w:r>
        <w:rPr>
          <w:rFonts w:hint="eastAsia" w:ascii="黑体" w:hAnsi="黑体" w:eastAsia="黑体" w:cs="宋体"/>
          <w:bCs/>
          <w:sz w:val="24"/>
          <w:szCs w:val="24"/>
          <w:lang w:val="zh-CN"/>
        </w:rPr>
        <w:t xml:space="preserve">第十五条　争议的解决</w:t>
      </w:r>
      <w:r/>
    </w:p>
    <w:p>
      <w:pPr>
        <w:ind w:firstLine="48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1、因货物的质量问题发生争议的，应当邀请国家认可的质量检测机构对货物质量进行鉴定。货物符合标准的，鉴定费由甲方承担；货物不符合质量标准的，鉴定费由乙方承担。</w:t>
      </w:r>
      <w:r/>
    </w:p>
    <w:p>
      <w:pPr>
        <w:ind w:firstLine="48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2、因履行本合同引起的或与本合同有关的争议，甲、乙双方应首先通过友好协商解决，如果协商不能解决争议，则采取以下2种方式解决争议：</w:t>
      </w:r>
      <w:r/>
    </w:p>
    <w:p>
      <w:pPr>
        <w:ind w:firstLine="48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（1）向甲方所在地有管辖权的人民法院提起诉讼；</w:t>
      </w:r>
      <w:r/>
    </w:p>
    <w:p>
      <w:pPr>
        <w:ind w:firstLine="48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（2）向甲方所在地仲裁委员会按其仲裁规则申请仲裁。</w:t>
      </w:r>
      <w:r/>
    </w:p>
    <w:p>
      <w:pPr>
        <w:ind w:firstLine="42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3、在仲裁期间，本合同应继续履行。</w:t>
      </w:r>
      <w:r/>
    </w:p>
    <w:p>
      <w:pPr>
        <w:jc w:val="left"/>
        <w:spacing w:line="400" w:lineRule="exact"/>
        <w:widowControl/>
        <w:rPr>
          <w:rFonts w:ascii="黑体" w:hAnsi="黑体" w:eastAsia="黑体" w:cs="宋体"/>
          <w:bCs/>
          <w:sz w:val="24"/>
          <w:szCs w:val="24"/>
          <w:lang w:val="zh-CN"/>
        </w:rPr>
      </w:pPr>
      <w:r>
        <w:rPr>
          <w:rFonts w:hint="eastAsia" w:ascii="黑体" w:hAnsi="黑体" w:eastAsia="黑体" w:cs="宋体"/>
          <w:bCs/>
          <w:sz w:val="24"/>
          <w:szCs w:val="24"/>
          <w:lang w:val="zh-CN"/>
        </w:rPr>
        <w:t xml:space="preserve">第十六条　合同生效及其他</w:t>
      </w:r>
      <w:r/>
    </w:p>
    <w:p>
      <w:pPr>
        <w:ind w:firstLine="420"/>
        <w:jc w:val="left"/>
        <w:spacing w:line="400" w:lineRule="exact"/>
        <w:widowControl/>
        <w:rPr>
          <w:rFonts w:ascii="宋体" w:hAnsi="宋体" w:eastAsia="宋体" w:cs="宋体"/>
          <w:sz w:val="24"/>
          <w:szCs w:val="24"/>
        </w:rPr>
      </w:pPr>
      <w:r>
        <w:rPr>
          <w:rFonts w:hint="eastAsia" w:ascii="宋体" w:hAnsi="宋体" w:eastAsia="宋体" w:cs="宋体"/>
          <w:sz w:val="24"/>
          <w:szCs w:val="24"/>
          <w:lang w:val="zh-CN"/>
        </w:rPr>
        <w:t xml:space="preserve">1、</w:t>
      </w:r>
      <w:r>
        <w:rPr>
          <w:rFonts w:hint="eastAsia" w:ascii="宋体" w:hAnsi="宋体" w:eastAsia="宋体" w:cs="宋体"/>
          <w:sz w:val="24"/>
          <w:szCs w:val="24"/>
        </w:rPr>
        <w:t xml:space="preserve">本合同由甲乙双方签字、盖章后生效。</w:t>
      </w:r>
      <w:r/>
    </w:p>
    <w:p>
      <w:pPr>
        <w:ind w:firstLine="42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2、本合同一式四份，甲方、乙方、江阴市政府采购中心、江阴市财政局政府采购管理科各执一份。</w:t>
      </w:r>
      <w:r/>
    </w:p>
    <w:p>
      <w:pPr>
        <w:ind w:firstLine="42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3、本合同应按照中华人民共和国的现行法律进行解释。</w:t>
      </w:r>
      <w:r/>
    </w:p>
    <w:p>
      <w:pPr>
        <w:jc w:val="center"/>
        <w:spacing w:line="400" w:lineRule="exact"/>
        <w:rPr>
          <w:rFonts w:ascii="楷体_GB2312" w:hAnsi="Times New Roman" w:eastAsia="楷体_GB2312" w:cs="Times New Roman"/>
          <w:b/>
          <w:bCs/>
          <w:sz w:val="30"/>
          <w:szCs w:val="24"/>
        </w:rPr>
      </w:pPr>
      <w:r>
        <w:rPr>
          <w:rFonts w:ascii="楷体_GB2312" w:hAnsi="Times New Roman" w:eastAsia="楷体_GB2312" w:cs="Times New Roman"/>
          <w:b/>
          <w:bCs/>
          <w:sz w:val="30"/>
          <w:szCs w:val="24"/>
        </w:rPr>
      </w:r>
      <w:r/>
    </w:p>
    <w:p>
      <w:pPr>
        <w:jc w:val="center"/>
        <w:spacing w:line="400" w:lineRule="exact"/>
        <w:rPr>
          <w:rFonts w:ascii="楷体_GB2312" w:hAnsi="Times New Roman" w:eastAsia="楷体_GB2312" w:cs="Times New Roman"/>
          <w:b/>
          <w:bCs/>
          <w:sz w:val="30"/>
          <w:szCs w:val="24"/>
        </w:rPr>
      </w:pPr>
      <w:r>
        <w:rPr>
          <w:rFonts w:ascii="楷体_GB2312" w:hAnsi="Times New Roman" w:eastAsia="楷体_GB2312" w:cs="Times New Roman"/>
          <w:b/>
          <w:bCs/>
          <w:sz w:val="30"/>
          <w:szCs w:val="24"/>
        </w:rPr>
      </w:r>
      <w:r/>
    </w:p>
    <w:tbl>
      <w:tblPr>
        <w:tblW w:w="9356" w:type="dxa"/>
        <w:jc w:val="center"/>
        <w:tblLayout w:type="fixed"/>
        <w:tblLook w:val="04A0" w:firstRow="1" w:lastRow="0" w:firstColumn="1" w:lastColumn="0" w:noHBand="0" w:noVBand="1"/>
      </w:tblPr>
      <w:tblGrid>
        <w:gridCol w:w="4536"/>
        <w:gridCol w:w="284"/>
        <w:gridCol w:w="4536"/>
      </w:tblGrid>
      <w:tr>
        <w:trPr>
          <w:jc w:val="center"/>
        </w:trPr>
        <w:tc>
          <w:tcPr>
            <w:tcW w:w="4536" w:type="dxa"/>
            <w:textDirection w:val="lrTb"/>
            <w:noWrap w:val="false"/>
          </w:tcPr>
          <w:p>
            <w:pPr>
              <w:spacing w:line="360" w:lineRule="exact"/>
              <w:rPr>
                <w:rFonts w:ascii="宋体" w:hAnsi="宋体" w:eastAsia="宋体" w:cs="Times New Roman"/>
                <w:bCs/>
                <w:sz w:val="24"/>
                <w:szCs w:val="24"/>
                <w:u w:val="single"/>
              </w:rPr>
            </w:pPr>
            <w:r>
              <w:rPr>
                <w:rFonts w:hint="eastAsia" w:ascii="宋体" w:hAnsi="宋体" w:eastAsia="宋体" w:cs="Times New Roman"/>
                <w:bCs/>
                <w:sz w:val="24"/>
                <w:szCs w:val="24"/>
              </w:rPr>
              <w:t xml:space="preserve">甲方（采购单位）：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（盖章）</w:t>
            </w:r>
            <w:r/>
          </w:p>
        </w:tc>
        <w:tc>
          <w:tcPr>
            <w:tcW w:w="284" w:type="dxa"/>
            <w:textDirection w:val="lrTb"/>
            <w:noWrap w:val="false"/>
          </w:tcPr>
          <w:p>
            <w:pPr>
              <w:spacing w:line="360" w:lineRule="exact"/>
              <w:rPr>
                <w:rFonts w:ascii="宋体" w:hAnsi="宋体" w:eastAsia="宋体" w:cs="Times New Roman"/>
                <w:sz w:val="24"/>
                <w:szCs w:val="24"/>
              </w:rPr>
            </w:pPr>
            <w:r>
              <w:rPr>
                <w:rFonts w:ascii="宋体" w:hAnsi="宋体" w:eastAsia="宋体" w:cs="Times New Roman"/>
                <w:sz w:val="24"/>
                <w:szCs w:val="24"/>
              </w:rPr>
            </w:r>
            <w:r/>
          </w:p>
        </w:tc>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乙方（中标单位）：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（盖章）</w:t>
            </w:r>
            <w:r/>
          </w:p>
        </w:tc>
      </w:tr>
      <w:tr>
        <w:trPr>
          <w:jc w:val="center"/>
        </w:trPr>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地址：</w:t>
            </w:r>
            <w:r>
              <w:rPr>
                <w:rFonts w:hint="eastAsia" w:ascii="宋体" w:hAnsi="宋体" w:eastAsia="宋体" w:cs="Times New Roman"/>
                <w:bCs/>
                <w:sz w:val="24"/>
                <w:szCs w:val="24"/>
                <w:u w:val="single"/>
              </w:rPr>
              <w:t xml:space="preserve">　　　　　　　　　　　　　　　</w:t>
            </w:r>
            <w:r/>
          </w:p>
        </w:tc>
        <w:tc>
          <w:tcPr>
            <w:tcW w:w="284" w:type="dxa"/>
            <w:textDirection w:val="lrTb"/>
            <w:noWrap w:val="false"/>
          </w:tcPr>
          <w:p>
            <w:pPr>
              <w:spacing w:line="360" w:lineRule="exact"/>
              <w:rPr>
                <w:rFonts w:ascii="宋体" w:hAnsi="宋体" w:eastAsia="宋体" w:cs="Times New Roman"/>
                <w:sz w:val="24"/>
                <w:szCs w:val="24"/>
              </w:rPr>
            </w:pPr>
            <w:r>
              <w:rPr>
                <w:rFonts w:ascii="宋体" w:hAnsi="宋体" w:eastAsia="宋体" w:cs="Times New Roman"/>
                <w:sz w:val="24"/>
                <w:szCs w:val="24"/>
              </w:rPr>
            </w:r>
            <w:r/>
          </w:p>
        </w:tc>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地址：</w:t>
            </w:r>
            <w:r>
              <w:rPr>
                <w:rFonts w:hint="eastAsia" w:ascii="宋体" w:hAnsi="宋体" w:eastAsia="宋体" w:cs="Times New Roman"/>
                <w:bCs/>
                <w:sz w:val="24"/>
                <w:szCs w:val="24"/>
                <w:u w:val="single"/>
              </w:rPr>
              <w:t xml:space="preserve">　　　　　　　　　　　　　　　</w:t>
            </w:r>
            <w:r/>
          </w:p>
        </w:tc>
      </w:tr>
      <w:tr>
        <w:trPr>
          <w:jc w:val="center"/>
        </w:trPr>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法定（授权）代表人：</w:t>
            </w:r>
            <w:r/>
          </w:p>
        </w:tc>
        <w:tc>
          <w:tcPr>
            <w:tcW w:w="284" w:type="dxa"/>
            <w:textDirection w:val="lrTb"/>
            <w:noWrap w:val="false"/>
          </w:tcPr>
          <w:p>
            <w:pPr>
              <w:spacing w:line="360" w:lineRule="exact"/>
              <w:rPr>
                <w:rFonts w:ascii="宋体" w:hAnsi="宋体" w:eastAsia="宋体" w:cs="Times New Roman"/>
                <w:sz w:val="24"/>
                <w:szCs w:val="24"/>
              </w:rPr>
            </w:pPr>
            <w:r>
              <w:rPr>
                <w:rFonts w:ascii="宋体" w:hAnsi="宋体" w:eastAsia="宋体" w:cs="Times New Roman"/>
                <w:sz w:val="24"/>
                <w:szCs w:val="24"/>
              </w:rPr>
            </w:r>
            <w:r/>
          </w:p>
        </w:tc>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法定（授权）代表人：</w:t>
            </w:r>
            <w:r/>
          </w:p>
        </w:tc>
      </w:tr>
      <w:tr>
        <w:trPr>
          <w:jc w:val="center"/>
        </w:trPr>
        <w:tc>
          <w:tcPr>
            <w:tcW w:w="4536" w:type="dxa"/>
            <w:textDirection w:val="lrTb"/>
            <w:noWrap w:val="false"/>
          </w:tcPr>
          <w:p>
            <w:pPr>
              <w:jc w:val="right"/>
              <w:spacing w:line="360" w:lineRule="exact"/>
              <w:rPr>
                <w:rFonts w:ascii="宋体" w:hAnsi="宋体" w:eastAsia="宋体" w:cs="Times New Roman"/>
                <w:sz w:val="24"/>
                <w:szCs w:val="24"/>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月</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日</w:t>
            </w:r>
            <w:r/>
          </w:p>
        </w:tc>
        <w:tc>
          <w:tcPr>
            <w:tcW w:w="284" w:type="dxa"/>
            <w:textDirection w:val="lrTb"/>
            <w:noWrap w:val="false"/>
          </w:tcPr>
          <w:p>
            <w:pPr>
              <w:spacing w:line="360" w:lineRule="exact"/>
              <w:rPr>
                <w:rFonts w:ascii="宋体" w:hAnsi="宋体" w:eastAsia="宋体" w:cs="Times New Roman"/>
                <w:sz w:val="24"/>
                <w:szCs w:val="24"/>
              </w:rPr>
            </w:pPr>
            <w:r>
              <w:rPr>
                <w:rFonts w:ascii="宋体" w:hAnsi="宋体" w:eastAsia="宋体" w:cs="Times New Roman"/>
                <w:sz w:val="24"/>
                <w:szCs w:val="24"/>
              </w:rPr>
            </w:r>
            <w:r/>
          </w:p>
        </w:tc>
        <w:tc>
          <w:tcPr>
            <w:tcW w:w="4536" w:type="dxa"/>
            <w:textDirection w:val="lrTb"/>
            <w:noWrap w:val="false"/>
          </w:tcPr>
          <w:p>
            <w:pPr>
              <w:jc w:val="right"/>
              <w:spacing w:line="360" w:lineRule="exact"/>
              <w:rPr>
                <w:rFonts w:ascii="宋体" w:hAnsi="宋体" w:eastAsia="宋体" w:cs="Times New Roman"/>
                <w:sz w:val="24"/>
                <w:szCs w:val="24"/>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月</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日</w:t>
            </w:r>
            <w:bookmarkEnd w:id="69"/>
            <w:r/>
            <w:r/>
          </w:p>
        </w:tc>
      </w:tr>
    </w:tbl>
    <w:p>
      <w:pPr>
        <w:pStyle w:val="873"/>
        <w:sectPr>
          <w:footnotePr/>
          <w:endnotePr/>
          <w:type w:val="nextPage"/>
          <w:pgSz w:w="11906" w:h="16838" w:orient="portrait"/>
          <w:pgMar w:top="1247" w:right="1247" w:bottom="1247" w:left="1247" w:header="680" w:footer="992" w:gutter="0"/>
          <w:cols w:num="1" w:sep="0" w:space="720" w:equalWidth="1"/>
          <w:docGrid w:linePitch="360"/>
        </w:sectPr>
      </w:pPr>
      <w:r/>
      <w:r/>
    </w:p>
    <w:p>
      <w:pPr>
        <w:pStyle w:val="873"/>
        <w:outlineLvl w:val="9"/>
      </w:pPr>
      <w:r/>
      <w:r/>
    </w:p>
    <w:p>
      <w:pPr>
        <w:pStyle w:val="873"/>
      </w:pPr>
      <w:r/>
      <w:bookmarkStart w:id="70" w:name="_Toc3567"/>
      <w:r>
        <w:rPr>
          <w:rFonts w:hint="eastAsia"/>
        </w:rPr>
        <w:t xml:space="preserve">第六章　投标文件的组成和格式</w:t>
      </w:r>
      <w:bookmarkEnd w:id="70"/>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Cs/>
          <w:spacing w:val="20"/>
          <w:sz w:val="72"/>
          <w:szCs w:val="72"/>
        </w:rPr>
      </w:pPr>
      <w:r>
        <w:rPr>
          <w:rFonts w:hint="eastAsia" w:ascii="宋体" w:hAnsi="宋体" w:eastAsia="宋体" w:cs="Times New Roman"/>
          <w:bCs/>
          <w:spacing w:val="20"/>
          <w:sz w:val="72"/>
          <w:szCs w:val="72"/>
        </w:rPr>
        <w:t xml:space="preserve">投</w:t>
      </w:r>
      <w:r/>
    </w:p>
    <w:p>
      <w:pPr>
        <w:jc w:val="center"/>
        <w:rPr>
          <w:rFonts w:ascii="宋体" w:hAnsi="宋体" w:eastAsia="宋体" w:cs="Times New Roman"/>
          <w:bCs/>
          <w:spacing w:val="20"/>
          <w:sz w:val="72"/>
          <w:szCs w:val="72"/>
        </w:rPr>
      </w:pPr>
      <w:r>
        <w:rPr>
          <w:rFonts w:ascii="宋体" w:hAnsi="宋体" w:eastAsia="宋体" w:cs="Times New Roman"/>
          <w:bCs/>
          <w:spacing w:val="20"/>
          <w:sz w:val="72"/>
          <w:szCs w:val="72"/>
        </w:rPr>
      </w:r>
      <w:r/>
    </w:p>
    <w:p>
      <w:pPr>
        <w:jc w:val="center"/>
        <w:rPr>
          <w:rFonts w:ascii="宋体" w:hAnsi="宋体" w:eastAsia="宋体" w:cs="Times New Roman"/>
          <w:bCs/>
          <w:spacing w:val="20"/>
          <w:sz w:val="72"/>
          <w:szCs w:val="72"/>
        </w:rPr>
      </w:pPr>
      <w:r>
        <w:rPr>
          <w:rFonts w:hint="eastAsia" w:ascii="宋体" w:hAnsi="宋体" w:eastAsia="宋体" w:cs="Times New Roman"/>
          <w:bCs/>
          <w:spacing w:val="20"/>
          <w:sz w:val="72"/>
          <w:szCs w:val="72"/>
        </w:rPr>
        <w:t xml:space="preserve">标</w:t>
      </w:r>
      <w:r/>
    </w:p>
    <w:p>
      <w:pPr>
        <w:jc w:val="center"/>
        <w:rPr>
          <w:rFonts w:ascii="宋体" w:hAnsi="宋体" w:eastAsia="宋体" w:cs="Times New Roman"/>
          <w:bCs/>
          <w:spacing w:val="20"/>
          <w:sz w:val="72"/>
          <w:szCs w:val="72"/>
        </w:rPr>
      </w:pPr>
      <w:r>
        <w:rPr>
          <w:rFonts w:ascii="宋体" w:hAnsi="宋体" w:eastAsia="宋体" w:cs="Times New Roman"/>
          <w:bCs/>
          <w:spacing w:val="20"/>
          <w:sz w:val="72"/>
          <w:szCs w:val="72"/>
        </w:rPr>
      </w:r>
      <w:r/>
    </w:p>
    <w:p>
      <w:pPr>
        <w:jc w:val="center"/>
        <w:rPr>
          <w:rFonts w:ascii="宋体" w:hAnsi="宋体" w:eastAsia="宋体" w:cs="Times New Roman"/>
          <w:bCs/>
          <w:spacing w:val="20"/>
          <w:sz w:val="72"/>
          <w:szCs w:val="72"/>
        </w:rPr>
      </w:pPr>
      <w:r>
        <w:rPr>
          <w:rFonts w:hint="eastAsia" w:ascii="宋体" w:hAnsi="宋体" w:eastAsia="宋体" w:cs="Times New Roman"/>
          <w:bCs/>
          <w:spacing w:val="20"/>
          <w:sz w:val="72"/>
          <w:szCs w:val="72"/>
        </w:rPr>
        <w:t xml:space="preserve">书</w:t>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ind w:left="2245" w:hanging="1350"/>
        <w:spacing w:line="600" w:lineRule="exact"/>
        <w:rPr>
          <w:rFonts w:ascii="宋体" w:hAnsi="宋体" w:eastAsia="宋体" w:cs="Times New Roman"/>
          <w:sz w:val="30"/>
          <w:szCs w:val="30"/>
          <w:u w:val="single"/>
        </w:rPr>
      </w:pPr>
      <w:r>
        <w:rPr>
          <w:rFonts w:hint="eastAsia" w:ascii="宋体" w:hAnsi="宋体" w:eastAsia="宋体" w:cs="Times New Roman"/>
          <w:bCs/>
          <w:sz w:val="30"/>
          <w:szCs w:val="30"/>
        </w:rPr>
        <w:t xml:space="preserve">项目名称：</w:t>
      </w:r>
      <w:r>
        <w:rPr>
          <w:rFonts w:hint="eastAsia" w:ascii="宋体" w:hAnsi="宋体" w:eastAsia="宋体" w:cs="Times New Roman"/>
          <w:sz w:val="30"/>
          <w:szCs w:val="30"/>
          <w:u w:val="single"/>
        </w:rPr>
        <w:t xml:space="preserve">                                  </w:t>
      </w:r>
      <w:r/>
    </w:p>
    <w:p>
      <w:pPr>
        <w:ind w:firstLine="900"/>
        <w:spacing w:line="600" w:lineRule="exact"/>
        <w:rPr>
          <w:rFonts w:ascii="宋体" w:hAnsi="宋体" w:eastAsia="宋体" w:cs="Times New Roman"/>
          <w:bCs/>
          <w:sz w:val="30"/>
          <w:szCs w:val="24"/>
        </w:rPr>
      </w:pPr>
      <w:r>
        <w:rPr>
          <w:rFonts w:hint="eastAsia" w:ascii="宋体" w:hAnsi="宋体" w:eastAsia="宋体" w:cs="Times New Roman"/>
          <w:bCs/>
          <w:sz w:val="30"/>
          <w:szCs w:val="24"/>
        </w:rPr>
        <w:t xml:space="preserve">项目编号：</w:t>
      </w:r>
      <w:r>
        <w:rPr>
          <w:rFonts w:hint="eastAsia" w:ascii="宋体" w:hAnsi="宋体" w:eastAsia="宋体" w:cs="Times New Roman"/>
          <w:bCs/>
          <w:sz w:val="30"/>
          <w:szCs w:val="24"/>
          <w:u w:val="single"/>
        </w:rPr>
        <w:t xml:space="preserve">                                  </w:t>
      </w:r>
      <w:r/>
    </w:p>
    <w:p>
      <w:pPr>
        <w:ind w:firstLine="900"/>
        <w:spacing w:line="600" w:lineRule="exact"/>
        <w:rPr>
          <w:rFonts w:ascii="宋体" w:hAnsi="宋体" w:eastAsia="宋体" w:cs="Times New Roman"/>
          <w:bCs/>
          <w:sz w:val="30"/>
          <w:szCs w:val="24"/>
          <w:u w:val="single"/>
        </w:rPr>
      </w:pPr>
      <w:r>
        <w:rPr>
          <w:rFonts w:hint="eastAsia" w:ascii="宋体" w:hAnsi="宋体" w:eastAsia="宋体" w:cs="Times New Roman"/>
          <w:bCs/>
          <w:sz w:val="30"/>
          <w:szCs w:val="24"/>
        </w:rPr>
        <w:t xml:space="preserve">投标单位：</w:t>
      </w:r>
      <w:r>
        <w:rPr>
          <w:rFonts w:hint="eastAsia" w:ascii="宋体" w:hAnsi="宋体" w:eastAsia="宋体" w:cs="Times New Roman"/>
          <w:bCs/>
          <w:sz w:val="30"/>
          <w:szCs w:val="24"/>
          <w:u w:val="single"/>
        </w:rPr>
        <w:t xml:space="preserve">                                  </w:t>
      </w:r>
      <w:r/>
    </w:p>
    <w:p>
      <w:pPr>
        <w:jc w:val="left"/>
        <w:spacing w:line="600" w:lineRule="exact"/>
        <w:widowControl/>
        <w:rPr>
          <w:rFonts w:ascii="Times New Roman" w:hAnsi="Times New Roman" w:eastAsia="宋体" w:cs="Times New Roman"/>
          <w:sz w:val="24"/>
          <w:szCs w:val="20"/>
        </w:rPr>
      </w:pPr>
      <w:r>
        <w:rPr>
          <w:rFonts w:ascii="Times New Roman" w:hAnsi="Times New Roman" w:eastAsia="宋体" w:cs="Times New Roman"/>
          <w:sz w:val="24"/>
          <w:szCs w:val="20"/>
        </w:rPr>
      </w:r>
      <w:r/>
    </w:p>
    <w:p>
      <w:pPr>
        <w:jc w:val="left"/>
        <w:spacing w:line="600" w:lineRule="exact"/>
        <w:widowControl/>
        <w:rPr>
          <w:rFonts w:ascii="Times New Roman" w:hAnsi="Times New Roman" w:eastAsia="宋体" w:cs="Times New Roman"/>
          <w:sz w:val="24"/>
          <w:szCs w:val="20"/>
        </w:rPr>
      </w:pPr>
      <w:r>
        <w:rPr>
          <w:rFonts w:ascii="Times New Roman" w:hAnsi="Times New Roman" w:eastAsia="宋体" w:cs="Times New Roman"/>
          <w:sz w:val="24"/>
          <w:szCs w:val="20"/>
        </w:rPr>
      </w:r>
      <w:r/>
    </w:p>
    <w:p>
      <w:pPr>
        <w:jc w:val="center"/>
        <w:spacing w:line="600" w:lineRule="exact"/>
        <w:rPr>
          <w:rFonts w:ascii="宋体" w:hAnsi="宋体" w:eastAsia="宋体" w:cs="Times New Roman"/>
          <w:bCs/>
          <w:sz w:val="30"/>
          <w:szCs w:val="24"/>
        </w:rPr>
      </w:pPr>
      <w:r>
        <w:rPr>
          <w:rFonts w:hint="eastAsia" w:ascii="宋体" w:hAnsi="宋体" w:eastAsia="宋体" w:cs="Times New Roman"/>
          <w:bCs/>
          <w:sz w:val="30"/>
          <w:szCs w:val="24"/>
        </w:rPr>
        <w:t xml:space="preserve">二○    年  月  日</w:t>
      </w:r>
      <w:r/>
    </w:p>
    <w:p>
      <w:pPr>
        <w:jc w:val="center"/>
        <w:spacing w:line="600" w:lineRule="exact"/>
        <w:rPr>
          <w:rFonts w:ascii="宋体" w:hAnsi="宋体" w:eastAsia="宋体" w:cs="Times New Roman"/>
          <w:bCs/>
          <w:sz w:val="30"/>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bCs/>
          <w:sz w:val="30"/>
          <w:szCs w:val="24"/>
        </w:rPr>
      </w:r>
      <w:r/>
    </w:p>
    <w:p>
      <w:pPr>
        <w:jc w:val="center"/>
        <w:spacing w:line="400" w:lineRule="exact"/>
        <w:rPr>
          <w:rFonts w:ascii="黑体" w:hAnsi="宋体" w:eastAsia="黑体" w:cs="Times New Roman"/>
          <w:bCs/>
          <w:sz w:val="28"/>
          <w:szCs w:val="28"/>
        </w:rPr>
      </w:pPr>
      <w:r>
        <w:rPr>
          <w:rFonts w:ascii="黑体" w:hAnsi="宋体" w:eastAsia="黑体" w:cs="Times New Roman"/>
          <w:bCs/>
          <w:sz w:val="28"/>
          <w:szCs w:val="28"/>
        </w:rPr>
      </w:r>
      <w:r/>
    </w:p>
    <w:p>
      <w:pPr>
        <w:jc w:val="center"/>
        <w:spacing w:line="400" w:lineRule="exact"/>
        <w:rPr>
          <w:rFonts w:ascii="黑体" w:hAnsi="宋体" w:eastAsia="黑体" w:cs="Times New Roman"/>
          <w:bCs/>
          <w:sz w:val="28"/>
          <w:szCs w:val="28"/>
        </w:rPr>
      </w:pPr>
      <w:r>
        <w:rPr>
          <w:rFonts w:hint="eastAsia" w:ascii="黑体" w:hAnsi="宋体" w:eastAsia="黑体" w:cs="Times New Roman"/>
          <w:bCs/>
          <w:sz w:val="28"/>
          <w:szCs w:val="28"/>
        </w:rPr>
        <w:t xml:space="preserve">一、投标函</w:t>
      </w:r>
      <w:r/>
    </w:p>
    <w:p>
      <w:pPr>
        <w:spacing w:line="400" w:lineRule="exact"/>
        <w:rPr>
          <w:rFonts w:ascii="宋体" w:hAnsi="宋体" w:eastAsia="宋体" w:cs="Times New Roman"/>
          <w:bCs/>
          <w:sz w:val="24"/>
          <w:szCs w:val="24"/>
        </w:rPr>
      </w:pPr>
      <w:r>
        <w:rPr>
          <w:rFonts w:ascii="宋体" w:hAnsi="宋体" w:eastAsia="宋体" w:cs="Times New Roman"/>
          <w:bCs/>
          <w:sz w:val="24"/>
          <w:szCs w:val="24"/>
        </w:rPr>
      </w:r>
      <w:r/>
    </w:p>
    <w:p>
      <w:pP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致江阴市政府采购中心：</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我方收到贵中心</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（项目名称及编号）招标文件，经仔细阅读和研究，我们决定参加此项目的投标。</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1、愿意按照招标文件的一切要求，参加本项目的投标</w:t>
      </w:r>
      <w:r>
        <w:rPr>
          <w:rFonts w:hint="eastAsia" w:ascii="宋体" w:hAnsi="宋体" w:eastAsia="宋体" w:cs="Times New Roman"/>
          <w:sz w:val="24"/>
          <w:szCs w:val="24"/>
        </w:rPr>
        <w:t xml:space="preserve">，</w:t>
      </w:r>
      <w:r>
        <w:rPr>
          <w:rFonts w:hint="eastAsia" w:ascii="宋体" w:hAnsi="宋体" w:eastAsia="宋体" w:cs="Times New Roman"/>
          <w:bCs/>
          <w:sz w:val="24"/>
          <w:szCs w:val="24"/>
        </w:rPr>
        <w:t xml:space="preserve">投标报价详见《开标一览表》。</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2、我方同意按招标文件的规定，本投标文件的投标有效期限为开标后90天。</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3、我方愿意提供招标文件中要求的原始资料及可能另外要求的与投标有关的任何资料，并保证我方已提供和将要提供的资料是真实的、准确的。</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4、我方认为你们有权决定中标者。</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5、我方愿意遵守《中华人民共和国政府采购法》、</w:t>
      </w:r>
      <w:r>
        <w:rPr>
          <w:rFonts w:hint="eastAsia" w:ascii="宋体" w:hAnsi="宋体" w:eastAsia="宋体" w:cs="Times New Roman"/>
          <w:sz w:val="24"/>
          <w:szCs w:val="24"/>
        </w:rPr>
        <w:t xml:space="preserve">《中华人民共和国政府采购法实施条例》</w:t>
      </w:r>
      <w:r>
        <w:rPr>
          <w:rFonts w:hint="eastAsia" w:ascii="宋体" w:hAnsi="宋体" w:eastAsia="宋体" w:cs="Times New Roman"/>
          <w:bCs/>
          <w:sz w:val="24"/>
          <w:szCs w:val="24"/>
        </w:rPr>
        <w:t xml:space="preserve">，并按《中华人民共和国民法典》、财政部《政府采购货物和服务招标投标管理办法》和合同条款履行自己的全部责任。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6、我方认可并遵守采购文件的所有规定，放弃对招标（采购）文件、评标办法、评分细则及配分提出质疑的权利。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7、如我们在投标截止期后撤回投标或中标后拒绝遵守投标承诺或拒绝在规定的时间内与采购人签订合同，则将接受相应处罚。</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8、如果我方被确定为中标单位，我方愿意在合同签署时支付履约保证金。且我方如未履行招标文件、投标文件和合同条款的，我方愿意赔偿由此而造成的一切损失，并同意接受按招标文件的相关要求对我方进行处理，有不可抗力情形的除外。</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9、一旦我方中标，我方将根据招标文件的规定，严格履行合同的责任和义务，保证按期、按质、按量完成项目。</w:t>
      </w:r>
      <w:r/>
    </w:p>
    <w:p>
      <w:pPr>
        <w:ind w:firstLine="480"/>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480"/>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电话：</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传真：</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地址：</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邮编：</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电子邮箱：</w:t>
      </w:r>
      <w:r/>
    </w:p>
    <w:p>
      <w:pPr>
        <w:jc w:val="center"/>
        <w:spacing w:line="400" w:lineRule="exact"/>
        <w:rPr>
          <w:rFonts w:ascii="黑体" w:hAnsi="黑体" w:eastAsia="黑体" w:cs="Times New Roman"/>
          <w:sz w:val="28"/>
          <w:szCs w:val="28"/>
        </w:rPr>
      </w:pPr>
      <w:r/>
      <w:bookmarkStart w:id="71" w:name="_Toc222799676"/>
      <w:r/>
      <w:bookmarkStart w:id="72" w:name="_Toc194739809"/>
      <w:r/>
      <w:r/>
    </w:p>
    <w:p>
      <w:pPr>
        <w:jc w:val="center"/>
        <w:spacing w:line="400" w:lineRule="exact"/>
        <w:rPr>
          <w:rFonts w:ascii="黑体" w:hAnsi="黑体" w:eastAsia="黑体" w:cs="Times New Roman"/>
          <w:sz w:val="28"/>
          <w:szCs w:val="28"/>
        </w:rPr>
        <w:sectPr>
          <w:footnotePr/>
          <w:endnotePr/>
          <w:type w:val="nextPage"/>
          <w:pgSz w:w="11906" w:h="16838" w:orient="portrait"/>
          <w:pgMar w:top="1247" w:right="1247" w:bottom="1247" w:left="1247" w:header="680" w:footer="992" w:gutter="0"/>
          <w:cols w:num="1" w:sep="0" w:space="720" w:equalWidth="1"/>
          <w:docGrid w:linePitch="360"/>
        </w:sect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bCs/>
          <w:sz w:val="28"/>
          <w:szCs w:val="28"/>
          <w:u w:val="single"/>
        </w:rPr>
      </w:pPr>
      <w:r>
        <w:rPr>
          <w:rFonts w:hint="eastAsia" w:ascii="黑体" w:hAnsi="黑体" w:eastAsia="黑体" w:cs="Times New Roman"/>
          <w:sz w:val="28"/>
          <w:szCs w:val="28"/>
        </w:rPr>
        <w:t xml:space="preserve">二、开标一览表</w:t>
      </w:r>
      <w:r/>
    </w:p>
    <w:p>
      <w:pPr>
        <w:jc w:val="center"/>
        <w:spacing w:line="400" w:lineRule="exact"/>
        <w:rPr>
          <w:rFonts w:ascii="黑体" w:hAnsi="黑体" w:eastAsia="黑体" w:cs="Times New Roman"/>
          <w:bCs/>
          <w:sz w:val="28"/>
          <w:szCs w:val="28"/>
          <w:u w:val="single"/>
        </w:rPr>
      </w:pPr>
      <w:r>
        <w:rPr>
          <w:rFonts w:ascii="黑体" w:hAnsi="黑体" w:eastAsia="黑体" w:cs="Times New Roman"/>
          <w:bCs/>
          <w:sz w:val="28"/>
          <w:szCs w:val="28"/>
          <w:u w:val="single"/>
        </w:rPr>
      </w:r>
      <w:r/>
    </w:p>
    <w:tbl>
      <w:tblPr>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Look w:val="04A0" w:firstRow="1" w:lastRow="0" w:firstColumn="1" w:lastColumn="0" w:noHBand="0" w:noVBand="1"/>
      </w:tblPr>
      <w:tblGrid>
        <w:gridCol w:w="2075"/>
        <w:gridCol w:w="7224"/>
      </w:tblGrid>
      <w:tr>
        <w:trPr>
          <w:jc w:val="center"/>
          <w:trHeight w:val="760"/>
        </w:trPr>
        <w:tc>
          <w:tcPr>
            <w:tcW w:w="2075"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项目编号</w:t>
            </w:r>
            <w:r/>
          </w:p>
        </w:tc>
        <w:tc>
          <w:tcPr>
            <w:tcW w:w="7224"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JSZC-320281-JZCG-G2025-0087</w:t>
            </w:r>
            <w:r/>
          </w:p>
        </w:tc>
      </w:tr>
      <w:tr>
        <w:trPr>
          <w:jc w:val="center"/>
          <w:trHeight w:val="776"/>
        </w:trPr>
        <w:tc>
          <w:tcPr>
            <w:tcW w:w="2075"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项目名称</w:t>
            </w:r>
            <w:r/>
          </w:p>
        </w:tc>
        <w:tc>
          <w:tcPr>
            <w:tcW w:w="7224"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江阴市第三人民医院四级电子病历升级改造项目</w:t>
            </w:r>
            <w:r/>
          </w:p>
        </w:tc>
      </w:tr>
      <w:tr>
        <w:trPr>
          <w:jc w:val="center"/>
          <w:trHeight w:val="1678"/>
        </w:trPr>
        <w:tc>
          <w:tcPr>
            <w:tcW w:w="2075"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项目报价</w:t>
            </w:r>
            <w:r/>
          </w:p>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（单位：元）</w:t>
            </w:r>
            <w:r/>
          </w:p>
        </w:tc>
        <w:tc>
          <w:tcPr>
            <w:tcW w:w="7224" w:type="dxa"/>
            <w:vAlign w:val="center"/>
            <w:textDirection w:val="lrTb"/>
            <w:noWrap w:val="false"/>
          </w:tcPr>
          <w:p>
            <w:pPr>
              <w:ind w:firstLine="480"/>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以“标书制作客户端一一基本目录一一开标一览表”中</w:t>
            </w:r>
            <w:r/>
          </w:p>
          <w:p>
            <w:pPr>
              <w:ind w:firstLine="480"/>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填写的金额为准。</w:t>
            </w:r>
            <w:r/>
          </w:p>
        </w:tc>
      </w:tr>
    </w:tbl>
    <w:p>
      <w:pPr>
        <w:jc w:val="left"/>
        <w:spacing w:line="400" w:lineRule="exact"/>
        <w:rPr>
          <w:rFonts w:ascii="宋体" w:hAnsi="宋体" w:eastAsia="宋体" w:cs="Times New Roman"/>
          <w:b/>
          <w:sz w:val="24"/>
          <w:szCs w:val="24"/>
        </w:rPr>
      </w:pPr>
      <w:r/>
      <w:bookmarkStart w:id="73" w:name="_Toc145474400"/>
      <w:r/>
      <w:bookmarkStart w:id="74" w:name="_Toc194386107"/>
      <w:r/>
      <w:bookmarkStart w:id="75" w:name="_Toc158691780"/>
      <w:r>
        <w:rPr>
          <w:rFonts w:hint="eastAsia" w:ascii="宋体" w:hAnsi="宋体" w:eastAsia="宋体" w:cs="Times New Roman"/>
          <w:b/>
          <w:sz w:val="24"/>
          <w:szCs w:val="24"/>
        </w:rPr>
        <w:t xml:space="preserve">注:此表格无需填报具体内容，签章</w:t>
      </w:r>
      <w:r>
        <w:rPr>
          <w:rFonts w:hint="eastAsia" w:ascii="宋体" w:hAnsi="宋体" w:eastAsia="宋体" w:cs="Times New Roman"/>
          <w:b/>
          <w:sz w:val="24"/>
          <w:szCs w:val="24"/>
        </w:rPr>
        <w:t xml:space="preserve">上传即可</w:t>
      </w:r>
      <w:r>
        <w:rPr>
          <w:rFonts w:hint="eastAsia" w:ascii="宋体" w:hAnsi="宋体" w:eastAsia="宋体" w:cs="Times New Roman"/>
          <w:b/>
          <w:sz w:val="24"/>
          <w:szCs w:val="24"/>
        </w:rPr>
        <w:t xml:space="preserve">。</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sz w:val="24"/>
          <w:szCs w:val="24"/>
        </w:rPr>
      </w:pPr>
      <w:r>
        <w:rPr>
          <w:rFonts w:hint="eastAsia" w:ascii="宋体" w:hAnsi="宋体" w:eastAsia="宋体" w:cs="Times New Roman"/>
          <w:bCs/>
          <w:sz w:val="24"/>
          <w:szCs w:val="24"/>
        </w:rPr>
        <w:t xml:space="preserve">日期：     年    月    日</w:t>
      </w:r>
      <w:r/>
    </w:p>
    <w:p>
      <w:pPr>
        <w:jc w:val="center"/>
        <w:spacing w:line="400" w:lineRule="exact"/>
        <w:rPr>
          <w:rFonts w:ascii="宋体" w:hAnsi="宋体" w:eastAsia="宋体" w:cs="Times New Roman"/>
          <w:sz w:val="24"/>
          <w:szCs w:val="24"/>
        </w:rPr>
      </w:pPr>
      <w:r>
        <w:rPr>
          <w:rFonts w:ascii="宋体" w:hAnsi="宋体" w:eastAsia="宋体" w:cs="Times New Roman"/>
          <w:sz w:val="24"/>
          <w:szCs w:val="24"/>
        </w:rPr>
      </w:r>
      <w:bookmarkEnd w:id="73"/>
      <w:r/>
      <w:bookmarkEnd w:id="74"/>
      <w:r/>
      <w:bookmarkEnd w:id="75"/>
      <w:r/>
      <w:r/>
    </w:p>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p>
      <w:pPr>
        <w:jc w:val="center"/>
        <w:spacing w:line="400" w:lineRule="exact"/>
        <w:rPr>
          <w:rFonts w:ascii="宋体" w:hAnsi="宋体" w:eastAsia="宋体" w:cs="Times New Roman"/>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z w:val="24"/>
          <w:szCs w:val="24"/>
        </w:rPr>
      </w:r>
      <w:r/>
    </w:p>
    <w:p>
      <w:pPr>
        <w:jc w:val="center"/>
        <w:spacing w:line="400" w:lineRule="exact"/>
        <w:rPr>
          <w:rFonts w:ascii="黑体" w:hAnsi="黑体" w:eastAsia="黑体" w:cs="Times New Roman"/>
          <w:sz w:val="28"/>
          <w:szCs w:val="28"/>
        </w:rPr>
      </w:pPr>
      <w:r/>
      <w:bookmarkStart w:id="76" w:name="_Toc194386110"/>
      <w:r/>
      <w:bookmarkStart w:id="77" w:name="_Toc129333640"/>
      <w:r/>
      <w:bookmarkStart w:id="78" w:name="_Toc158691783"/>
      <w:r/>
      <w:r/>
    </w:p>
    <w:p>
      <w:pPr>
        <w:jc w:val="cente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三、</w:t>
      </w:r>
      <w:bookmarkEnd w:id="71"/>
      <w:r/>
      <w:bookmarkEnd w:id="72"/>
      <w:r/>
      <w:bookmarkEnd w:id="76"/>
      <w:r/>
      <w:bookmarkEnd w:id="77"/>
      <w:r/>
      <w:bookmarkEnd w:id="78"/>
      <w:r>
        <w:rPr>
          <w:rFonts w:hint="eastAsia" w:ascii="黑体" w:hAnsi="黑体" w:eastAsia="黑体" w:cs="Times New Roman"/>
          <w:sz w:val="28"/>
          <w:szCs w:val="28"/>
        </w:rPr>
        <w:t xml:space="preserve">报价明细表</w:t>
      </w:r>
      <w:r/>
    </w:p>
    <w:p>
      <w:pPr>
        <w:spacing w:line="360" w:lineRule="exact"/>
        <w:rPr>
          <w:rFonts w:ascii="宋体" w:hAnsi="宋体" w:eastAsia="宋体" w:cs="Times New Roman"/>
          <w:b/>
          <w:bCs/>
          <w:sz w:val="24"/>
          <w:szCs w:val="24"/>
        </w:rPr>
      </w:pPr>
      <w:r>
        <w:rPr>
          <w:rFonts w:ascii="宋体" w:hAnsi="宋体" w:eastAsia="宋体" w:cs="Times New Roman"/>
          <w:b/>
          <w:bCs/>
          <w:sz w:val="24"/>
          <w:szCs w:val="24"/>
        </w:rPr>
      </w:r>
      <w:r/>
    </w:p>
    <w:tbl>
      <w:tblPr>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Look w:val="04A0" w:firstRow="1" w:lastRow="0" w:firstColumn="1" w:lastColumn="0" w:noHBand="0" w:noVBand="1"/>
      </w:tblPr>
      <w:tblGrid>
        <w:gridCol w:w="877"/>
        <w:gridCol w:w="3113"/>
        <w:gridCol w:w="5224"/>
      </w:tblGrid>
      <w:tr>
        <w:trPr>
          <w:cantSplit/>
          <w:jc w:val="center"/>
          <w:trHeight w:val="437"/>
        </w:trPr>
        <w:tc>
          <w:tcPr>
            <w:tcW w:w="877"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tcW w:w="3113"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费用名称</w:t>
            </w:r>
            <w:r/>
          </w:p>
        </w:tc>
        <w:tc>
          <w:tcPr>
            <w:tcW w:w="5224"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价格</w:t>
            </w:r>
            <w:r/>
          </w:p>
        </w:tc>
      </w:tr>
      <w:tr>
        <w:trPr>
          <w:cantSplit/>
          <w:jc w:val="center"/>
          <w:trHeight w:val="456"/>
        </w:trPr>
        <w:tc>
          <w:tcPr>
            <w:tcW w:w="877"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3113"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c>
          <w:tcPr>
            <w:tcW w:w="5224"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448"/>
        </w:trPr>
        <w:tc>
          <w:tcPr>
            <w:tcW w:w="877"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3113"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c>
          <w:tcPr>
            <w:tcW w:w="5224"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455"/>
        </w:trPr>
        <w:tc>
          <w:tcPr>
            <w:tcW w:w="877"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3113"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c>
          <w:tcPr>
            <w:tcW w:w="5224"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455"/>
        </w:trPr>
        <w:tc>
          <w:tcPr>
            <w:tcW w:w="877"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w:t>
            </w:r>
            <w:r/>
          </w:p>
        </w:tc>
        <w:tc>
          <w:tcPr>
            <w:tcW w:w="3113"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c>
          <w:tcPr>
            <w:tcW w:w="5224"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455"/>
        </w:trPr>
        <w:tc>
          <w:tcPr>
            <w:tcW w:w="877"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w:t>
            </w:r>
            <w:r/>
          </w:p>
        </w:tc>
        <w:tc>
          <w:tcPr>
            <w:tcW w:w="3113"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c>
          <w:tcPr>
            <w:tcW w:w="5224"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455"/>
        </w:trPr>
        <w:tc>
          <w:tcPr>
            <w:tcW w:w="877"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w:t>
            </w:r>
            <w:r/>
          </w:p>
        </w:tc>
        <w:tc>
          <w:tcPr>
            <w:tcW w:w="3113"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c>
          <w:tcPr>
            <w:tcW w:w="5224"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455"/>
        </w:trPr>
        <w:tc>
          <w:tcPr>
            <w:tcW w:w="877"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w:t>
            </w:r>
            <w:r/>
          </w:p>
        </w:tc>
        <w:tc>
          <w:tcPr>
            <w:tcW w:w="3113"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c>
          <w:tcPr>
            <w:tcW w:w="5224"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461"/>
        </w:trPr>
        <w:tc>
          <w:tcPr>
            <w:tcW w:w="877"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w:t>
            </w:r>
            <w:r/>
          </w:p>
        </w:tc>
        <w:tc>
          <w:tcPr>
            <w:tcW w:w="3113"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c>
          <w:tcPr>
            <w:tcW w:w="5224"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461"/>
        </w:trPr>
        <w:tc>
          <w:tcPr>
            <w:tcW w:w="877"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3113"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c>
          <w:tcPr>
            <w:tcW w:w="5224"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600"/>
        </w:trPr>
        <w:tc>
          <w:tcPr>
            <w:gridSpan w:val="2"/>
            <w:tcW w:w="3990"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合计</w:t>
            </w:r>
            <w:r/>
          </w:p>
        </w:tc>
        <w:tc>
          <w:tcPr>
            <w:tcW w:w="5224" w:type="dxa"/>
            <w:vAlign w:val="center"/>
            <w:textDirection w:val="lrTb"/>
            <w:noWrap w:val="false"/>
          </w:tcPr>
          <w:p>
            <w:pPr>
              <w:spacing w:line="400" w:lineRule="exact"/>
              <w:rPr>
                <w:rFonts w:ascii="宋体" w:hAnsi="宋体" w:eastAsia="宋体" w:cs="Times New Roman"/>
                <w:sz w:val="24"/>
                <w:szCs w:val="24"/>
                <w:u w:val="single"/>
              </w:rPr>
            </w:pPr>
            <w:r>
              <w:rPr>
                <w:rFonts w:hint="eastAsia" w:ascii="宋体" w:hAnsi="宋体" w:eastAsia="宋体" w:cs="Times New Roman"/>
                <w:sz w:val="24"/>
                <w:szCs w:val="24"/>
              </w:rPr>
              <w:t xml:space="preserve">小写：￥</w:t>
            </w:r>
            <w:r>
              <w:rPr>
                <w:rFonts w:hint="eastAsia" w:ascii="宋体" w:hAnsi="宋体" w:eastAsia="宋体" w:cs="Times New Roman"/>
                <w:sz w:val="24"/>
                <w:szCs w:val="24"/>
                <w:u w:val="single"/>
              </w:rPr>
              <w:t xml:space="preserve">                                </w:t>
            </w:r>
            <w:r/>
          </w:p>
          <w:p>
            <w:pPr>
              <w:spacing w:line="400" w:lineRule="exact"/>
              <w:rPr>
                <w:rFonts w:ascii="宋体" w:hAnsi="宋体" w:eastAsia="宋体" w:cs="Times New Roman"/>
                <w:sz w:val="24"/>
                <w:szCs w:val="24"/>
                <w:u w:val="single"/>
              </w:rPr>
            </w:pPr>
            <w:r>
              <w:rPr>
                <w:rFonts w:hint="eastAsia" w:ascii="宋体" w:hAnsi="宋体" w:eastAsia="宋体" w:cs="Times New Roman"/>
                <w:sz w:val="24"/>
                <w:szCs w:val="24"/>
              </w:rPr>
              <w:t xml:space="preserve">大写：人民币</w:t>
            </w:r>
            <w:r>
              <w:rPr>
                <w:rFonts w:hint="eastAsia" w:ascii="宋体" w:hAnsi="宋体" w:eastAsia="宋体" w:cs="Times New Roman"/>
                <w:sz w:val="24"/>
                <w:szCs w:val="24"/>
                <w:u w:val="single"/>
              </w:rPr>
              <w:t xml:space="preserve">                            </w:t>
            </w:r>
            <w:r/>
          </w:p>
        </w:tc>
      </w:tr>
    </w:tbl>
    <w:p>
      <w:pPr>
        <w:spacing w:line="360" w:lineRule="exact"/>
        <w:rPr>
          <w:rFonts w:ascii="宋体" w:hAnsi="宋体" w:eastAsia="宋体" w:cs="Times New Roman"/>
          <w:b/>
          <w:bCs/>
          <w:sz w:val="24"/>
          <w:szCs w:val="24"/>
        </w:rPr>
      </w:pPr>
      <w:r>
        <w:rPr>
          <w:rFonts w:ascii="宋体" w:hAnsi="宋体" w:eastAsia="宋体" w:cs="Times New Roman"/>
          <w:b/>
          <w:bCs/>
          <w:sz w:val="24"/>
          <w:szCs w:val="24"/>
        </w:rPr>
      </w:r>
      <w:r/>
    </w:p>
    <w:p>
      <w:pPr>
        <w:spacing w:line="360" w:lineRule="exact"/>
        <w:rPr>
          <w:rFonts w:ascii="宋体" w:hAnsi="宋体" w:eastAsia="宋体" w:cs="Times New Roman"/>
          <w:b/>
          <w:bCs/>
          <w:sz w:val="24"/>
          <w:szCs w:val="24"/>
        </w:rPr>
      </w:pPr>
      <w:r>
        <w:rPr>
          <w:rFonts w:ascii="宋体" w:hAnsi="宋体" w:eastAsia="宋体" w:cs="Times New Roman"/>
          <w:b/>
          <w:bCs/>
          <w:sz w:val="24"/>
          <w:szCs w:val="24"/>
        </w:rPr>
      </w:r>
      <w:r/>
    </w:p>
    <w:p>
      <w:pPr>
        <w:spacing w:line="360" w:lineRule="exact"/>
        <w:rPr>
          <w:rFonts w:ascii="宋体" w:hAnsi="宋体" w:eastAsia="宋体" w:cs="Times New Roman"/>
          <w:b/>
          <w:bCs/>
          <w:sz w:val="24"/>
          <w:szCs w:val="24"/>
        </w:rPr>
      </w:pPr>
      <w:r>
        <w:rPr>
          <w:rFonts w:ascii="宋体" w:hAnsi="宋体" w:eastAsia="宋体" w:cs="Times New Roman"/>
          <w:b/>
          <w:bCs/>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宋体" w:hAnsi="宋体" w:eastAsia="宋体" w:cs="Times New Roman"/>
          <w:bCs/>
          <w:sz w:val="24"/>
          <w:szCs w:val="24"/>
        </w:rPr>
        <w:t xml:space="preserve">日期：     年    月    日</w:t>
      </w:r>
      <w:r/>
    </w:p>
    <w:p>
      <w:pPr>
        <w:jc w:val="cente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hint="eastAsia" w:ascii="黑体" w:hAnsi="Times New Roman" w:eastAsia="黑体" w:cs="Times New Roman"/>
          <w:sz w:val="28"/>
          <w:szCs w:val="28"/>
        </w:rPr>
        <w:t xml:space="preserve">四、</w:t>
      </w:r>
      <w:r>
        <w:rPr>
          <w:rFonts w:hint="eastAsia" w:ascii="黑体" w:hAnsi="黑体" w:eastAsia="黑体" w:cs="Times New Roman"/>
          <w:sz w:val="28"/>
          <w:szCs w:val="28"/>
        </w:rPr>
        <w:t xml:space="preserve">详细配置一览表</w:t>
      </w:r>
      <w:r/>
    </w:p>
    <w:p>
      <w:pPr>
        <w:jc w:val="center"/>
        <w:spacing w:line="400" w:lineRule="exact"/>
        <w:rPr>
          <w:rFonts w:ascii="宋体" w:hAnsi="宋体" w:eastAsia="宋体" w:cs="Times New Roman"/>
          <w:b/>
          <w:sz w:val="24"/>
          <w:szCs w:val="24"/>
        </w:rPr>
      </w:pPr>
      <w:r>
        <w:rPr>
          <w:rFonts w:ascii="宋体" w:hAnsi="宋体" w:eastAsia="宋体" w:cs="Times New Roman"/>
          <w:b/>
          <w:sz w:val="24"/>
          <w:szCs w:val="24"/>
        </w:rPr>
      </w:r>
      <w:r/>
    </w:p>
    <w:p>
      <w:pPr>
        <w:jc w:val="cente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（一）硬件设备(若无，可不提供)</w:t>
      </w:r>
      <w:r/>
    </w:p>
    <w:tbl>
      <w:tblPr>
        <w:tblW w:w="5000"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Look w:val="04A0" w:firstRow="1" w:lastRow="0" w:firstColumn="1" w:lastColumn="0" w:noHBand="0" w:noVBand="1"/>
      </w:tblPr>
      <w:tblGrid>
        <w:gridCol w:w="777"/>
        <w:gridCol w:w="911"/>
        <w:gridCol w:w="952"/>
        <w:gridCol w:w="1265"/>
        <w:gridCol w:w="1422"/>
        <w:gridCol w:w="842"/>
        <w:gridCol w:w="980"/>
        <w:gridCol w:w="815"/>
        <w:gridCol w:w="816"/>
        <w:gridCol w:w="836"/>
        <w:gridCol w:w="12"/>
      </w:tblGrid>
      <w:tr>
        <w:trPr>
          <w:jc w:val="center"/>
          <w:trHeight w:val="360"/>
        </w:trPr>
        <w:tc>
          <w:tcPr>
            <w:tcBorders>
              <w:top w:val="single" w:color="auto" w:sz="12" w:space="0"/>
              <w:left w:val="single" w:color="auto" w:sz="12" w:space="0"/>
              <w:bottom w:val="single" w:color="auto" w:sz="6" w:space="0"/>
              <w:right w:val="single" w:color="auto" w:sz="6" w:space="0"/>
            </w:tcBorders>
            <w:tcW w:w="675" w:type="dxa"/>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序号</w:t>
            </w:r>
            <w:r/>
          </w:p>
        </w:tc>
        <w:tc>
          <w:tcPr>
            <w:tcBorders>
              <w:top w:val="single" w:color="auto" w:sz="12"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名称</w:t>
            </w:r>
            <w:r/>
          </w:p>
        </w:tc>
        <w:tc>
          <w:tcPr>
            <w:tcBorders>
              <w:top w:val="single" w:color="auto" w:sz="12" w:space="0"/>
              <w:left w:val="single" w:color="auto" w:sz="6" w:space="0"/>
              <w:bottom w:val="single" w:color="auto" w:sz="6" w:space="0"/>
              <w:right w:val="single" w:color="auto" w:sz="6" w:space="0"/>
            </w:tcBorders>
            <w:tcW w:w="827" w:type="dxa"/>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品牌</w:t>
            </w:r>
            <w:r/>
          </w:p>
        </w:tc>
        <w:tc>
          <w:tcPr>
            <w:tcBorders>
              <w:top w:val="single" w:color="auto" w:sz="12" w:space="0"/>
              <w:left w:val="single" w:color="auto" w:sz="6" w:space="0"/>
              <w:bottom w:val="single" w:color="auto" w:sz="6" w:space="0"/>
              <w:right w:val="single" w:color="auto" w:sz="6" w:space="0"/>
            </w:tcBorders>
            <w:tcW w:w="1099" w:type="dxa"/>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型号</w:t>
            </w:r>
            <w:r/>
          </w:p>
        </w:tc>
        <w:tc>
          <w:tcPr>
            <w:tcBorders>
              <w:top w:val="single" w:color="auto" w:sz="12" w:space="0"/>
              <w:left w:val="single" w:color="auto" w:sz="6" w:space="0"/>
              <w:bottom w:val="single" w:color="auto" w:sz="6" w:space="0"/>
              <w:right w:val="single" w:color="auto" w:sz="6" w:space="0"/>
            </w:tcBorders>
            <w:tcW w:w="1235" w:type="dxa"/>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数量/单位</w:t>
            </w:r>
            <w:r/>
          </w:p>
        </w:tc>
        <w:tc>
          <w:tcPr>
            <w:tcBorders>
              <w:top w:val="single" w:color="auto" w:sz="12" w:space="0"/>
              <w:left w:val="single" w:color="auto" w:sz="6" w:space="0"/>
              <w:bottom w:val="single" w:color="auto" w:sz="6" w:space="0"/>
              <w:right w:val="single" w:color="auto" w:sz="6" w:space="0"/>
            </w:tcBorders>
            <w:tcW w:w="731" w:type="dxa"/>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单报价</w:t>
            </w:r>
            <w:r/>
          </w:p>
        </w:tc>
        <w:tc>
          <w:tcPr>
            <w:tcBorders>
              <w:top w:val="single" w:color="auto" w:sz="12" w:space="0"/>
              <w:left w:val="single" w:color="auto" w:sz="6" w:space="0"/>
              <w:bottom w:val="single" w:color="auto" w:sz="6" w:space="0"/>
              <w:right w:val="single" w:color="auto" w:sz="6" w:space="0"/>
            </w:tcBorders>
            <w:tcW w:w="851" w:type="dxa"/>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分项总报价</w:t>
            </w:r>
            <w:r/>
          </w:p>
        </w:tc>
        <w:tc>
          <w:tcPr>
            <w:tcBorders>
              <w:top w:val="single" w:color="auto" w:sz="12" w:space="0"/>
              <w:left w:val="single" w:color="auto" w:sz="6" w:space="0"/>
              <w:bottom w:val="single" w:color="auto" w:sz="6" w:space="0"/>
              <w:right w:val="single" w:color="auto" w:sz="6" w:space="0"/>
            </w:tcBorders>
            <w:tcW w:w="708" w:type="dxa"/>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生产厂家</w:t>
            </w:r>
            <w:r/>
          </w:p>
        </w:tc>
        <w:tc>
          <w:tcPr>
            <w:tcBorders>
              <w:top w:val="single" w:color="auto" w:sz="12" w:space="0"/>
              <w:left w:val="single" w:color="auto" w:sz="6" w:space="0"/>
              <w:bottom w:val="single" w:color="auto" w:sz="6" w:space="0"/>
              <w:right w:val="single" w:color="auto" w:sz="6" w:space="0"/>
            </w:tcBorders>
            <w:tcW w:w="709" w:type="dxa"/>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质保期</w:t>
            </w:r>
            <w:r/>
          </w:p>
        </w:tc>
        <w:tc>
          <w:tcPr>
            <w:gridSpan w:val="2"/>
            <w:tcBorders>
              <w:top w:val="single" w:color="auto" w:sz="12" w:space="0"/>
              <w:left w:val="single" w:color="auto" w:sz="4" w:space="0"/>
              <w:bottom w:val="single" w:color="auto" w:sz="6" w:space="0"/>
              <w:right w:val="single" w:color="auto" w:sz="12" w:space="0"/>
            </w:tcBorders>
            <w:tcW w:w="736" w:type="dxa"/>
            <w:vAlign w:val="center"/>
            <w:textDirection w:val="lrTb"/>
            <w:noWrap w:val="false"/>
          </w:tcPr>
          <w:p>
            <w:pPr>
              <w:jc w:val="center"/>
              <w:spacing w:line="400" w:lineRule="exact"/>
              <w:widowControl/>
              <w:rPr>
                <w:rFonts w:ascii="宋体" w:hAnsi="宋体" w:eastAsia="宋体" w:cs="Times New Roman"/>
                <w:b/>
                <w:bCs/>
                <w:szCs w:val="21"/>
              </w:rPr>
            </w:pPr>
            <w:r>
              <w:rPr>
                <w:rFonts w:hint="eastAsia" w:ascii="宋体" w:hAnsi="宋体" w:eastAsia="宋体" w:cs="Times New Roman"/>
                <w:b/>
                <w:bCs/>
                <w:szCs w:val="21"/>
              </w:rPr>
              <w:t xml:space="preserve">备注</w:t>
            </w:r>
            <w:r/>
          </w:p>
        </w:tc>
      </w:tr>
      <w:tr>
        <w:trPr>
          <w:gridAfter w:val="1"/>
          <w:jc w:val="center"/>
          <w:trHeight w:val="407"/>
        </w:trPr>
        <w:tc>
          <w:tcPr>
            <w:tcBorders>
              <w:top w:val="single" w:color="auto" w:sz="6" w:space="0"/>
              <w:left w:val="single" w:color="auto" w:sz="12" w:space="0"/>
              <w:bottom w:val="single" w:color="auto" w:sz="6" w:space="0"/>
              <w:right w:val="single" w:color="auto" w:sz="6" w:space="0"/>
            </w:tcBorders>
            <w:tcW w:w="675" w:type="dxa"/>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1</w:t>
            </w:r>
            <w:r/>
          </w:p>
        </w:tc>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827"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1099"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1235"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731"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709"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4" w:space="0"/>
              <w:bottom w:val="single" w:color="auto" w:sz="6" w:space="0"/>
              <w:right w:val="single" w:color="auto" w:sz="12" w:space="0"/>
            </w:tcBorders>
            <w:tcW w:w="726"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r>
      <w:tr>
        <w:trPr>
          <w:gridAfter w:val="1"/>
          <w:jc w:val="center"/>
          <w:trHeight w:val="280"/>
        </w:trPr>
        <w:tc>
          <w:tcPr>
            <w:tcBorders>
              <w:top w:val="single" w:color="auto" w:sz="6" w:space="0"/>
              <w:left w:val="single" w:color="auto" w:sz="12" w:space="0"/>
              <w:bottom w:val="single" w:color="auto" w:sz="6" w:space="0"/>
              <w:right w:val="single" w:color="auto" w:sz="6" w:space="0"/>
            </w:tcBorders>
            <w:tcW w:w="675" w:type="dxa"/>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2</w:t>
            </w:r>
            <w:r/>
          </w:p>
        </w:tc>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827"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1099"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1235"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731"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709"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4" w:space="0"/>
              <w:bottom w:val="single" w:color="auto" w:sz="6" w:space="0"/>
              <w:right w:val="single" w:color="auto" w:sz="12" w:space="0"/>
            </w:tcBorders>
            <w:tcW w:w="726"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r>
      <w:tr>
        <w:trPr>
          <w:gridAfter w:val="1"/>
          <w:jc w:val="center"/>
          <w:trHeight w:val="285"/>
        </w:trPr>
        <w:tc>
          <w:tcPr>
            <w:tcBorders>
              <w:top w:val="single" w:color="auto" w:sz="6" w:space="0"/>
              <w:left w:val="single" w:color="auto" w:sz="12" w:space="0"/>
              <w:bottom w:val="single" w:color="auto" w:sz="6" w:space="0"/>
              <w:right w:val="single" w:color="auto" w:sz="6" w:space="0"/>
            </w:tcBorders>
            <w:tcW w:w="675" w:type="dxa"/>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3</w:t>
            </w:r>
            <w:r/>
          </w:p>
        </w:tc>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827"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1099"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1235"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731"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709"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4" w:space="0"/>
              <w:bottom w:val="single" w:color="auto" w:sz="6" w:space="0"/>
              <w:right w:val="single" w:color="auto" w:sz="12" w:space="0"/>
            </w:tcBorders>
            <w:tcW w:w="726"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gridAfter w:val="1"/>
          <w:jc w:val="center"/>
          <w:trHeight w:val="285"/>
        </w:trPr>
        <w:tc>
          <w:tcPr>
            <w:tcBorders>
              <w:top w:val="single" w:color="auto" w:sz="6" w:space="0"/>
              <w:left w:val="single" w:color="auto" w:sz="12" w:space="0"/>
              <w:bottom w:val="single" w:color="auto" w:sz="12" w:space="0"/>
              <w:right w:val="single" w:color="auto" w:sz="6" w:space="0"/>
            </w:tcBorders>
            <w:tcW w:w="675" w:type="dxa"/>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w:t>
            </w:r>
            <w:r/>
          </w:p>
        </w:tc>
        <w:tc>
          <w:tcPr>
            <w:tcBorders>
              <w:top w:val="single" w:color="auto" w:sz="6" w:space="0"/>
              <w:left w:val="single" w:color="auto" w:sz="6" w:space="0"/>
              <w:bottom w:val="single" w:color="auto" w:sz="12" w:space="0"/>
              <w:right w:val="single" w:color="auto" w:sz="6" w:space="0"/>
            </w:tcBorders>
            <w:tcW w:w="791" w:type="dxa"/>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12" w:space="0"/>
              <w:right w:val="single" w:color="auto" w:sz="6" w:space="0"/>
            </w:tcBorders>
            <w:tcW w:w="827"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12" w:space="0"/>
              <w:right w:val="single" w:color="auto" w:sz="6" w:space="0"/>
            </w:tcBorders>
            <w:tcW w:w="1099"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12" w:space="0"/>
              <w:right w:val="single" w:color="auto" w:sz="6" w:space="0"/>
            </w:tcBorders>
            <w:tcW w:w="1235"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12" w:space="0"/>
              <w:right w:val="single" w:color="auto" w:sz="6" w:space="0"/>
            </w:tcBorders>
            <w:tcW w:w="731"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12" w:space="0"/>
              <w:right w:val="single" w:color="auto" w:sz="6" w:space="0"/>
            </w:tcBorders>
            <w:tcW w:w="851"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12" w:space="0"/>
              <w:right w:val="single" w:color="auto" w:sz="6" w:space="0"/>
            </w:tcBorders>
            <w:tcW w:w="708"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12" w:space="0"/>
              <w:right w:val="single" w:color="auto" w:sz="6" w:space="0"/>
            </w:tcBorders>
            <w:tcW w:w="709"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4" w:space="0"/>
              <w:bottom w:val="single" w:color="auto" w:sz="12" w:space="0"/>
              <w:right w:val="single" w:color="auto" w:sz="12" w:space="0"/>
            </w:tcBorders>
            <w:tcW w:w="726"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bl>
    <w:p>
      <w:pPr>
        <w:jc w:val="cente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（二）软件系统</w:t>
      </w:r>
      <w:r/>
    </w:p>
    <w:tbl>
      <w:tblPr>
        <w:tblW w:w="5000"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Look w:val="04A0" w:firstRow="1" w:lastRow="0" w:firstColumn="1" w:lastColumn="0" w:noHBand="0" w:noVBand="1"/>
      </w:tblPr>
      <w:tblGrid>
        <w:gridCol w:w="992"/>
        <w:gridCol w:w="2513"/>
        <w:gridCol w:w="2514"/>
        <w:gridCol w:w="2513"/>
        <w:gridCol w:w="1096"/>
      </w:tblGrid>
      <w:tr>
        <w:trPr>
          <w:jc w:val="center"/>
          <w:trHeight w:val="360"/>
        </w:trPr>
        <w:tc>
          <w:tcPr>
            <w:tcW w:w="1019" w:type="dxa"/>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序号</w:t>
            </w:r>
            <w:r/>
          </w:p>
        </w:tc>
        <w:tc>
          <w:tcPr>
            <w:tcW w:w="2592" w:type="dxa"/>
            <w:vAlign w:val="center"/>
            <w:textDirection w:val="lrTb"/>
            <w:noWrap w:val="false"/>
          </w:tcPr>
          <w:p>
            <w:pPr>
              <w:jc w:val="center"/>
              <w:spacing w:line="400" w:lineRule="exact"/>
              <w:rPr>
                <w:rFonts w:ascii="宋体" w:hAnsi="宋体" w:eastAsia="宋体" w:cs="Times New Roman"/>
                <w:b/>
                <w:szCs w:val="21"/>
              </w:rPr>
            </w:pPr>
            <w:r>
              <w:rPr>
                <w:rFonts w:hint="eastAsia" w:ascii="宋体" w:hAnsi="宋体" w:eastAsia="宋体" w:cs="Times New Roman"/>
                <w:b/>
                <w:szCs w:val="21"/>
              </w:rPr>
              <w:t xml:space="preserve">系统名称</w:t>
            </w:r>
            <w:r/>
          </w:p>
        </w:tc>
        <w:tc>
          <w:tcPr>
            <w:tcW w:w="2594" w:type="dxa"/>
            <w:vAlign w:val="center"/>
            <w:textDirection w:val="lrTb"/>
            <w:noWrap w:val="false"/>
          </w:tcPr>
          <w:p>
            <w:pPr>
              <w:jc w:val="center"/>
              <w:spacing w:line="400" w:lineRule="exact"/>
              <w:rPr>
                <w:rFonts w:ascii="宋体" w:hAnsi="宋体" w:eastAsia="宋体" w:cs="Times New Roman"/>
                <w:b/>
                <w:szCs w:val="21"/>
              </w:rPr>
            </w:pPr>
            <w:r>
              <w:rPr>
                <w:rFonts w:hint="eastAsia" w:ascii="宋体" w:hAnsi="宋体" w:eastAsia="宋体" w:cs="Times New Roman"/>
                <w:b/>
                <w:szCs w:val="21"/>
              </w:rPr>
              <w:t xml:space="preserve">核心子系统或模块</w:t>
            </w:r>
            <w:r/>
          </w:p>
        </w:tc>
        <w:tc>
          <w:tcPr>
            <w:tcW w:w="2592" w:type="dxa"/>
            <w:vAlign w:val="center"/>
            <w:textDirection w:val="lrTb"/>
            <w:noWrap w:val="false"/>
          </w:tcPr>
          <w:p>
            <w:pPr>
              <w:jc w:val="center"/>
              <w:spacing w:line="400" w:lineRule="exact"/>
              <w:rPr>
                <w:rFonts w:ascii="宋体" w:hAnsi="宋体" w:eastAsia="宋体" w:cs="Times New Roman"/>
                <w:b/>
                <w:szCs w:val="21"/>
              </w:rPr>
            </w:pPr>
            <w:r>
              <w:rPr>
                <w:rFonts w:hint="eastAsia" w:ascii="宋体" w:hAnsi="宋体" w:eastAsia="宋体" w:cs="Times New Roman"/>
                <w:b/>
                <w:szCs w:val="21"/>
              </w:rPr>
              <w:t xml:space="preserve">实现功能</w:t>
            </w:r>
            <w:r/>
          </w:p>
        </w:tc>
        <w:tc>
          <w:tcPr>
            <w:tcW w:w="1126" w:type="dxa"/>
            <w:vAlign w:val="center"/>
            <w:textDirection w:val="lrTb"/>
            <w:noWrap w:val="false"/>
          </w:tcPr>
          <w:p>
            <w:pPr>
              <w:jc w:val="center"/>
              <w:spacing w:line="400" w:lineRule="exact"/>
              <w:widowControl/>
              <w:rPr>
                <w:rFonts w:ascii="宋体" w:hAnsi="宋体" w:eastAsia="宋体" w:cs="Times New Roman"/>
                <w:b/>
                <w:bCs/>
                <w:szCs w:val="21"/>
              </w:rPr>
            </w:pPr>
            <w:r>
              <w:rPr>
                <w:rFonts w:hint="eastAsia" w:ascii="宋体" w:hAnsi="宋体" w:eastAsia="宋体" w:cs="Times New Roman"/>
                <w:b/>
                <w:bCs/>
                <w:szCs w:val="21"/>
              </w:rPr>
              <w:t xml:space="preserve">备注</w:t>
            </w:r>
            <w:r/>
          </w:p>
        </w:tc>
      </w:tr>
      <w:tr>
        <w:trPr>
          <w:jc w:val="center"/>
          <w:trHeight w:val="204"/>
        </w:trPr>
        <w:tc>
          <w:tcPr>
            <w:tcW w:w="1019" w:type="dxa"/>
            <w:vAlign w:val="center"/>
            <w:vMerge w:val="restart"/>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1</w:t>
            </w:r>
            <w:r/>
          </w:p>
        </w:tc>
        <w:tc>
          <w:tcPr>
            <w:tcW w:w="2592" w:type="dxa"/>
            <w:vAlign w:val="center"/>
            <w:vMerge w:val="restart"/>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W w:w="2594" w:type="dxa"/>
            <w:vAlign w:val="center"/>
            <w:textDirection w:val="lrTb"/>
            <w:noWrap w:val="false"/>
          </w:tcPr>
          <w:p>
            <w:pPr>
              <w:jc w:val="center"/>
              <w:spacing w:line="400" w:lineRule="exact"/>
              <w:rPr>
                <w:rFonts w:ascii="宋体" w:hAnsi="宋体" w:eastAsia="宋体" w:cs="Times New Roman"/>
                <w:b/>
                <w:szCs w:val="21"/>
              </w:rPr>
            </w:pPr>
            <w:r>
              <w:rPr>
                <w:rFonts w:hint="eastAsia" w:ascii="宋体" w:hAnsi="宋体" w:eastAsia="宋体" w:cs="Times New Roman"/>
                <w:b/>
                <w:szCs w:val="21"/>
              </w:rPr>
              <w:t xml:space="preserve">……</w:t>
            </w:r>
            <w:r/>
          </w:p>
        </w:tc>
        <w:tc>
          <w:tcPr>
            <w:tcW w:w="2592" w:type="dxa"/>
            <w:vAlign w:val="center"/>
            <w:vMerge w:val="restart"/>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W w:w="1126" w:type="dxa"/>
            <w:vAlign w:val="center"/>
            <w:vMerge w:val="restart"/>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r>
      <w:tr>
        <w:trPr>
          <w:jc w:val="center"/>
          <w:trHeight w:val="204"/>
        </w:trPr>
        <w:tc>
          <w:tcPr>
            <w:tcW w:w="1019" w:type="dxa"/>
            <w:vAlign w:val="center"/>
            <w:vMerge w:val="continue"/>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W w:w="2592" w:type="dxa"/>
            <w:vAlign w:val="center"/>
            <w:vMerge w:val="continue"/>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W w:w="2594" w:type="dxa"/>
            <w:vAlign w:val="center"/>
            <w:textDirection w:val="lrTb"/>
            <w:noWrap w:val="false"/>
          </w:tcPr>
          <w:p>
            <w:pPr>
              <w:jc w:val="center"/>
              <w:spacing w:line="400" w:lineRule="exact"/>
              <w:rPr>
                <w:rFonts w:ascii="宋体" w:hAnsi="宋体" w:eastAsia="宋体" w:cs="Times New Roman"/>
                <w:b/>
                <w:szCs w:val="21"/>
              </w:rPr>
            </w:pPr>
            <w:r>
              <w:rPr>
                <w:rFonts w:hint="eastAsia" w:ascii="宋体" w:hAnsi="宋体" w:eastAsia="宋体" w:cs="Times New Roman"/>
                <w:b/>
                <w:szCs w:val="21"/>
              </w:rPr>
              <w:t xml:space="preserve">……</w:t>
            </w:r>
            <w:r/>
          </w:p>
        </w:tc>
        <w:tc>
          <w:tcPr>
            <w:tcW w:w="2592" w:type="dxa"/>
            <w:vAlign w:val="center"/>
            <w:vMerge w:val="continue"/>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W w:w="1126" w:type="dxa"/>
            <w:vAlign w:val="center"/>
            <w:vMerge w:val="continue"/>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r>
      <w:tr>
        <w:trPr>
          <w:jc w:val="center"/>
          <w:trHeight w:val="200"/>
        </w:trPr>
        <w:tc>
          <w:tcPr>
            <w:tcW w:w="1019" w:type="dxa"/>
            <w:vAlign w:val="center"/>
            <w:vMerge w:val="restart"/>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2</w:t>
            </w:r>
            <w:r/>
          </w:p>
        </w:tc>
        <w:tc>
          <w:tcPr>
            <w:tcW w:w="2592" w:type="dxa"/>
            <w:vAlign w:val="center"/>
            <w:vMerge w:val="restart"/>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W w:w="2594" w:type="dxa"/>
            <w:vAlign w:val="center"/>
            <w:textDirection w:val="lrTb"/>
            <w:noWrap w:val="false"/>
          </w:tcPr>
          <w:p>
            <w:pPr>
              <w:jc w:val="center"/>
              <w:spacing w:line="400" w:lineRule="exact"/>
              <w:rPr>
                <w:rFonts w:ascii="宋体" w:hAnsi="宋体" w:eastAsia="宋体" w:cs="Times New Roman"/>
                <w:b/>
                <w:szCs w:val="21"/>
              </w:rPr>
            </w:pPr>
            <w:r>
              <w:rPr>
                <w:rFonts w:hint="eastAsia" w:ascii="宋体" w:hAnsi="宋体" w:eastAsia="宋体" w:cs="Times New Roman"/>
                <w:b/>
                <w:szCs w:val="21"/>
              </w:rPr>
              <w:t xml:space="preserve">……</w:t>
            </w:r>
            <w:r/>
          </w:p>
        </w:tc>
        <w:tc>
          <w:tcPr>
            <w:tcW w:w="2592" w:type="dxa"/>
            <w:vAlign w:val="center"/>
            <w:vMerge w:val="restart"/>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W w:w="1126" w:type="dxa"/>
            <w:vAlign w:val="center"/>
            <w:vMerge w:val="restart"/>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r>
      <w:tr>
        <w:trPr>
          <w:jc w:val="center"/>
          <w:trHeight w:val="200"/>
        </w:trPr>
        <w:tc>
          <w:tcPr>
            <w:tcW w:w="1019" w:type="dxa"/>
            <w:vAlign w:val="center"/>
            <w:vMerge w:val="continue"/>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W w:w="2592" w:type="dxa"/>
            <w:vAlign w:val="center"/>
            <w:vMerge w:val="continue"/>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W w:w="2594" w:type="dxa"/>
            <w:vAlign w:val="center"/>
            <w:textDirection w:val="lrTb"/>
            <w:noWrap w:val="false"/>
          </w:tcPr>
          <w:p>
            <w:pPr>
              <w:jc w:val="center"/>
              <w:spacing w:line="400" w:lineRule="exact"/>
              <w:rPr>
                <w:rFonts w:ascii="宋体" w:hAnsi="宋体" w:eastAsia="宋体" w:cs="Times New Roman"/>
                <w:b/>
                <w:szCs w:val="21"/>
              </w:rPr>
            </w:pPr>
            <w:r>
              <w:rPr>
                <w:rFonts w:hint="eastAsia" w:ascii="宋体" w:hAnsi="宋体" w:eastAsia="宋体" w:cs="Times New Roman"/>
                <w:b/>
                <w:szCs w:val="21"/>
              </w:rPr>
              <w:t xml:space="preserve">……</w:t>
            </w:r>
            <w:r/>
          </w:p>
        </w:tc>
        <w:tc>
          <w:tcPr>
            <w:tcW w:w="2592" w:type="dxa"/>
            <w:vAlign w:val="center"/>
            <w:vMerge w:val="continue"/>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W w:w="1126" w:type="dxa"/>
            <w:vAlign w:val="center"/>
            <w:vMerge w:val="continue"/>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r>
      <w:tr>
        <w:trPr>
          <w:jc w:val="center"/>
          <w:trHeight w:val="200"/>
        </w:trPr>
        <w:tc>
          <w:tcPr>
            <w:tcW w:w="1019" w:type="dxa"/>
            <w:vAlign w:val="center"/>
            <w:vMerge w:val="restart"/>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3</w:t>
            </w:r>
            <w:r/>
          </w:p>
        </w:tc>
        <w:tc>
          <w:tcPr>
            <w:tcW w:w="2592" w:type="dxa"/>
            <w:vAlign w:val="center"/>
            <w:vMerge w:val="restart"/>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W w:w="2594" w:type="dxa"/>
            <w:vAlign w:val="center"/>
            <w:textDirection w:val="lrTb"/>
            <w:noWrap w:val="false"/>
          </w:tcPr>
          <w:p>
            <w:pPr>
              <w:jc w:val="center"/>
              <w:spacing w:line="400" w:lineRule="exact"/>
              <w:rPr>
                <w:rFonts w:ascii="宋体" w:hAnsi="宋体" w:eastAsia="宋体" w:cs="Times New Roman"/>
                <w:b/>
                <w:szCs w:val="21"/>
              </w:rPr>
            </w:pPr>
            <w:r>
              <w:rPr>
                <w:rFonts w:hint="eastAsia" w:ascii="宋体" w:hAnsi="宋体" w:eastAsia="宋体" w:cs="Times New Roman"/>
                <w:b/>
                <w:szCs w:val="21"/>
              </w:rPr>
              <w:t xml:space="preserve">……</w:t>
            </w:r>
            <w:r/>
          </w:p>
        </w:tc>
        <w:tc>
          <w:tcPr>
            <w:tcW w:w="2592" w:type="dxa"/>
            <w:vAlign w:val="center"/>
            <w:vMerge w:val="restart"/>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W w:w="1126" w:type="dxa"/>
            <w:vAlign w:val="center"/>
            <w:vMerge w:val="restart"/>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r>
      <w:tr>
        <w:trPr>
          <w:jc w:val="center"/>
          <w:trHeight w:val="200"/>
        </w:trPr>
        <w:tc>
          <w:tcPr>
            <w:tcW w:w="1019" w:type="dxa"/>
            <w:vAlign w:val="center"/>
            <w:vMerge w:val="continue"/>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W w:w="2592" w:type="dxa"/>
            <w:vAlign w:val="center"/>
            <w:vMerge w:val="continue"/>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W w:w="2594" w:type="dxa"/>
            <w:vAlign w:val="center"/>
            <w:textDirection w:val="lrTb"/>
            <w:noWrap w:val="false"/>
          </w:tcPr>
          <w:p>
            <w:pPr>
              <w:jc w:val="center"/>
              <w:spacing w:line="400" w:lineRule="exact"/>
              <w:rPr>
                <w:rFonts w:ascii="宋体" w:hAnsi="宋体" w:eastAsia="宋体" w:cs="Times New Roman"/>
                <w:b/>
                <w:szCs w:val="21"/>
              </w:rPr>
            </w:pPr>
            <w:r>
              <w:rPr>
                <w:rFonts w:hint="eastAsia" w:ascii="宋体" w:hAnsi="宋体" w:eastAsia="宋体" w:cs="Times New Roman"/>
                <w:b/>
                <w:szCs w:val="21"/>
              </w:rPr>
              <w:t xml:space="preserve">……</w:t>
            </w:r>
            <w:r/>
          </w:p>
        </w:tc>
        <w:tc>
          <w:tcPr>
            <w:tcW w:w="2592" w:type="dxa"/>
            <w:vAlign w:val="center"/>
            <w:vMerge w:val="continue"/>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W w:w="1126" w:type="dxa"/>
            <w:vAlign w:val="center"/>
            <w:vMerge w:val="continue"/>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r>
      <w:tr>
        <w:trPr>
          <w:jc w:val="center"/>
          <w:trHeight w:val="285"/>
        </w:trPr>
        <w:tc>
          <w:tcPr>
            <w:tcW w:w="1019" w:type="dxa"/>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w:t>
            </w:r>
            <w:r/>
          </w:p>
        </w:tc>
        <w:tc>
          <w:tcPr>
            <w:tcW w:w="2592"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W w:w="2594" w:type="dxa"/>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b/>
                <w:szCs w:val="21"/>
              </w:rPr>
              <w:t xml:space="preserve">……</w:t>
            </w:r>
            <w:r/>
          </w:p>
        </w:tc>
        <w:tc>
          <w:tcPr>
            <w:tcW w:w="2592"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W w:w="1126"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bl>
    <w:p>
      <w:pPr>
        <w:spacing w:line="360" w:lineRule="exact"/>
        <w:rPr>
          <w:rFonts w:ascii="宋体" w:hAnsi="宋体" w:eastAsia="宋体" w:cs="Times New Roman"/>
          <w:szCs w:val="21"/>
        </w:rPr>
      </w:pPr>
      <w:r>
        <w:rPr>
          <w:rFonts w:ascii="宋体" w:hAnsi="宋体" w:eastAsia="宋体" w:cs="Times New Roman"/>
          <w:szCs w:val="21"/>
        </w:rPr>
      </w:r>
      <w:r/>
    </w:p>
    <w:p>
      <w:pPr>
        <w:spacing w:line="360" w:lineRule="exact"/>
        <w:rPr>
          <w:rFonts w:ascii="宋体" w:hAnsi="宋体" w:eastAsia="宋体" w:cs="Times New Roman"/>
          <w:szCs w:val="21"/>
        </w:rPr>
      </w:pPr>
      <w:r>
        <w:rPr>
          <w:rFonts w:hint="eastAsia" w:ascii="宋体" w:hAnsi="宋体" w:eastAsia="宋体" w:cs="Times New Roman"/>
          <w:szCs w:val="21"/>
        </w:rPr>
        <w:t xml:space="preserve">注：1、所报产品的各项指标必须等于或大于采购文件需求中所列要求。</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2、请各投标单位根据本项目的相关需求，提出符合实际的报价明细，偏离或补充之处请作重点说明。</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3、本表可根据需要自行添行。</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4、因表述含糊导致的评审风险将由投标人承担。（必须如实填写品牌、型号。）</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5、如有需要说明的事项，请在备注中列明。</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宋体" w:hAnsi="宋体" w:eastAsia="宋体" w:cs="Times New Roman"/>
          <w:bCs/>
          <w:sz w:val="24"/>
          <w:szCs w:val="24"/>
        </w:rPr>
        <w:t xml:space="preserve">日期：     年    月    日</w:t>
      </w:r>
      <w:r/>
    </w:p>
    <w:p>
      <w:pPr>
        <w:jc w:val="center"/>
        <w:spacing w:line="360" w:lineRule="exact"/>
        <w:rPr>
          <w:rFonts w:ascii="黑体" w:hAnsi="黑体" w:eastAsia="黑体" w:cs="Times New Roman"/>
          <w:sz w:val="28"/>
          <w:szCs w:val="28"/>
        </w:rPr>
      </w:pPr>
      <w:r>
        <w:rPr>
          <w:rFonts w:ascii="黑体" w:hAnsi="黑体" w:eastAsia="黑体" w:cs="Times New Roman"/>
          <w:sz w:val="28"/>
          <w:szCs w:val="28"/>
        </w:rPr>
      </w:r>
      <w:r/>
    </w:p>
    <w:p>
      <w:pPr>
        <w:jc w:val="center"/>
        <w:spacing w:line="360" w:lineRule="exact"/>
        <w:rPr>
          <w:rFonts w:ascii="黑体" w:hAnsi="黑体" w:eastAsia="黑体" w:cs="Times New Roman"/>
          <w:sz w:val="28"/>
          <w:szCs w:val="28"/>
        </w:rPr>
      </w:pPr>
      <w:r>
        <w:rPr>
          <w:rFonts w:hint="eastAsia" w:ascii="黑体" w:hAnsi="黑体" w:eastAsia="黑体" w:cs="Times New Roman"/>
          <w:sz w:val="28"/>
          <w:szCs w:val="28"/>
        </w:rPr>
        <w:t xml:space="preserve">五、商务、技术要求响应及偏离表</w:t>
      </w:r>
      <w:r/>
    </w:p>
    <w:p>
      <w:pPr>
        <w:jc w:val="center"/>
        <w:spacing w:line="360" w:lineRule="exact"/>
        <w:rPr>
          <w:rFonts w:ascii="宋体" w:hAnsi="宋体" w:eastAsia="宋体" w:cs="Times New Roman"/>
          <w:b/>
          <w:sz w:val="24"/>
          <w:szCs w:val="24"/>
        </w:rPr>
      </w:pPr>
      <w:r>
        <w:rPr>
          <w:rFonts w:ascii="宋体" w:hAnsi="宋体" w:eastAsia="宋体" w:cs="Times New Roman"/>
          <w:b/>
          <w:sz w:val="24"/>
          <w:szCs w:val="24"/>
        </w:rPr>
      </w:r>
      <w:r/>
    </w:p>
    <w:p>
      <w:pPr>
        <w:jc w:val="center"/>
        <w:spacing w:line="360" w:lineRule="exact"/>
        <w:rPr>
          <w:rFonts w:ascii="宋体" w:hAnsi="宋体" w:eastAsia="宋体" w:cs="Times New Roman"/>
          <w:b/>
          <w:sz w:val="24"/>
          <w:szCs w:val="24"/>
        </w:rPr>
      </w:pPr>
      <w:r>
        <w:rPr>
          <w:rFonts w:hint="eastAsia" w:ascii="宋体" w:hAnsi="宋体" w:eastAsia="宋体" w:cs="Times New Roman"/>
          <w:b/>
          <w:sz w:val="24"/>
          <w:szCs w:val="24"/>
        </w:rPr>
        <w:t xml:space="preserve">（一）商务要求响应及偏离表</w:t>
      </w:r>
      <w:r/>
    </w:p>
    <w:tbl>
      <w:tblPr>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725"/>
        <w:gridCol w:w="2415"/>
        <w:gridCol w:w="2308"/>
        <w:gridCol w:w="1713"/>
        <w:gridCol w:w="1911"/>
      </w:tblGrid>
      <w:tr>
        <w:trPr>
          <w:jc w:val="center"/>
          <w:trHeight w:val="58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招标文件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商务要求</w:t>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投标文件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商务规范描述</w:t>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有无偏离</w:t>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偏离内容及原因</w:t>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bl>
    <w:p>
      <w:pPr>
        <w:jc w:val="center"/>
        <w:spacing w:line="360" w:lineRule="exact"/>
        <w:rPr>
          <w:rFonts w:ascii="宋体" w:hAnsi="宋体" w:eastAsia="宋体" w:cs="Times New Roman"/>
          <w:b/>
          <w:sz w:val="24"/>
          <w:szCs w:val="24"/>
        </w:rPr>
      </w:pPr>
      <w:r>
        <w:rPr>
          <w:rFonts w:hint="eastAsia" w:ascii="宋体" w:hAnsi="宋体" w:eastAsia="宋体" w:cs="Times New Roman"/>
          <w:b/>
          <w:sz w:val="24"/>
          <w:szCs w:val="24"/>
        </w:rPr>
        <w:t xml:space="preserve">（二）技术要求响应及偏离表</w:t>
      </w:r>
      <w:r/>
    </w:p>
    <w:tbl>
      <w:tblPr>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725"/>
        <w:gridCol w:w="2415"/>
        <w:gridCol w:w="2308"/>
        <w:gridCol w:w="1713"/>
        <w:gridCol w:w="1911"/>
      </w:tblGrid>
      <w:tr>
        <w:trPr>
          <w:jc w:val="center"/>
          <w:trHeight w:val="58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招标文件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技术要求</w:t>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投标文件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技术规范描述</w:t>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有无偏离</w:t>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偏离内容及原因</w:t>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bl>
    <w:p>
      <w:pPr>
        <w:spacing w:line="360" w:lineRule="exact"/>
        <w:rPr>
          <w:rFonts w:ascii="宋体" w:hAnsi="宋体" w:eastAsia="宋体" w:cs="Times New Roman"/>
          <w:szCs w:val="21"/>
        </w:rPr>
      </w:pPr>
      <w:r>
        <w:rPr>
          <w:rFonts w:ascii="宋体" w:hAnsi="宋体" w:eastAsia="宋体" w:cs="Times New Roman"/>
          <w:szCs w:val="21"/>
        </w:rPr>
      </w:r>
      <w:r/>
    </w:p>
    <w:p>
      <w:pPr>
        <w:spacing w:line="360" w:lineRule="exact"/>
        <w:rPr>
          <w:rFonts w:ascii="宋体" w:hAnsi="宋体" w:eastAsia="宋体" w:cs="Times New Roman"/>
          <w:b/>
          <w:szCs w:val="21"/>
        </w:rPr>
      </w:pPr>
      <w:r>
        <w:rPr>
          <w:rFonts w:hint="eastAsia" w:ascii="宋体" w:hAnsi="宋体" w:eastAsia="宋体" w:cs="Times New Roman"/>
          <w:szCs w:val="21"/>
        </w:rPr>
        <w:t xml:space="preserve">注：1、投标单位应据实、详细填写上述表格，因未标明或表述含糊导致的评审风险将由投标单位承担。</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2、质保期、工期、付款方式、售后服务等商务响应情况在“商务要求响应及偏离表”填写。产品技术参数要求响应等技术响应情况在“技术要求响应及偏离表”填写。</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3、若无偏离，在“有无偏离”栏中填写 “无”；若有偏离在“有无偏离”栏中填写 “有”并在“偏离内容及原因”栏中</w:t>
      </w:r>
      <w:r>
        <w:rPr>
          <w:rFonts w:hint="eastAsia" w:ascii="宋体" w:hAnsi="宋体" w:eastAsia="宋体" w:cs="Times New Roman"/>
          <w:szCs w:val="21"/>
        </w:rPr>
        <w:t xml:space="preserve">作出</w:t>
      </w:r>
      <w:r>
        <w:rPr>
          <w:rFonts w:hint="eastAsia" w:ascii="宋体" w:hAnsi="宋体" w:eastAsia="宋体" w:cs="Times New Roman"/>
          <w:szCs w:val="21"/>
        </w:rPr>
        <w:t xml:space="preserve">说明；若投标单位对某一事项是否存在或是否属于偏离不能确定，亦必须清楚标明该事项并在“有无偏离”栏中填写“不能确定”。</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4、“投标文件技术规范描述”完全照抄“招标文件技术要求”的，有被判定为负偏离的风险。</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5、表格</w:t>
      </w:r>
      <w:r>
        <w:rPr>
          <w:rFonts w:hint="eastAsia" w:ascii="宋体" w:hAnsi="宋体" w:eastAsia="宋体" w:cs="Times New Roman"/>
          <w:szCs w:val="21"/>
        </w:rPr>
        <w:t xml:space="preserve">不够可</w:t>
      </w:r>
      <w:r>
        <w:rPr>
          <w:rFonts w:hint="eastAsia" w:ascii="宋体" w:hAnsi="宋体" w:eastAsia="宋体" w:cs="Times New Roman"/>
          <w:szCs w:val="21"/>
        </w:rPr>
        <w:t xml:space="preserve">另接。</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sz w:val="24"/>
          <w:szCs w:val="24"/>
        </w:rPr>
      </w:pPr>
      <w:r>
        <w:rPr>
          <w:rFonts w:hint="eastAsia" w:ascii="宋体" w:hAnsi="宋体" w:eastAsia="宋体" w:cs="Times New Roman"/>
          <w:bCs/>
          <w:sz w:val="24"/>
          <w:szCs w:val="24"/>
        </w:rPr>
        <w:t xml:space="preserve">日期：     年    月    日</w:t>
      </w:r>
      <w:r/>
    </w:p>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p>
      <w:pPr>
        <w:jc w:val="center"/>
        <w:spacing w:line="400" w:lineRule="exact"/>
        <w:rPr>
          <w:rFonts w:ascii="宋体" w:hAnsi="宋体" w:eastAsia="宋体" w:cs="Times New Roman"/>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z w:val="24"/>
          <w:szCs w:val="24"/>
        </w:rPr>
      </w:r>
      <w:r/>
    </w:p>
    <w:p>
      <w:pPr>
        <w:jc w:val="center"/>
        <w:keepLines/>
        <w:keepNext/>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keepLines/>
        <w:keepNext/>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六、法定代表人授权委托书</w:t>
      </w:r>
      <w:r/>
    </w:p>
    <w:p>
      <w:pPr>
        <w:jc w:val="center"/>
        <w:spacing w:line="400" w:lineRule="exact"/>
        <w:rPr>
          <w:rFonts w:ascii="仿宋" w:hAnsi="仿宋" w:eastAsia="仿宋" w:cs="Times New Roman"/>
          <w:b/>
          <w:bCs/>
          <w:sz w:val="24"/>
          <w:szCs w:val="24"/>
        </w:rPr>
      </w:pPr>
      <w:r>
        <w:rPr>
          <w:rFonts w:hint="eastAsia" w:ascii="仿宋" w:hAnsi="仿宋" w:eastAsia="仿宋" w:cs="Times New Roman"/>
          <w:b/>
          <w:bCs/>
          <w:sz w:val="24"/>
          <w:szCs w:val="24"/>
        </w:rPr>
        <w:t xml:space="preserve">（若法定代表人亲自参加投标的，请提供《法定代表人亲自投标声明》）</w:t>
      </w:r>
      <w:r/>
    </w:p>
    <w:p>
      <w:pPr>
        <w:ind w:left="1470" w:right="1470"/>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江阴市政府采购中心：</w:t>
      </w:r>
      <w:r/>
    </w:p>
    <w:p>
      <w:pPr>
        <w:ind w:firstLine="480"/>
        <w:spacing w:line="400" w:lineRule="exact"/>
        <w:rPr>
          <w:rFonts w:ascii="宋体" w:hAnsi="宋体" w:eastAsia="宋体" w:cs="Times New Roman"/>
          <w:bCs/>
          <w:sz w:val="24"/>
          <w:szCs w:val="24"/>
          <w:u w:val="single"/>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系中华人民共和国合法企业。法定地址：</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特授权</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代表我公司（单位）全权办理针对</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项目（项目编号：</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）的投标、参与评标、签约等具体工作，并签署全部有关的文件、协议及合同。</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我公司（单位）对授权委托人的签名负全部责任。</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在撤销授权的书面通知送达你处以前，本授权书一直有效，授权委托人签署的所有文件（在授权书有效期内签署的）不因授权的撤销而失效。授权委托人无转委托权。</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授权委托人情况：</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姓名：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性别：</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年龄：</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职务：</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身份证号码：</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电话：</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通讯地址：</w:t>
      </w:r>
      <w:r>
        <w:rPr>
          <w:rFonts w:hint="eastAsia" w:ascii="宋体" w:hAnsi="宋体" w:eastAsia="宋体" w:cs="Times New Roman"/>
          <w:bCs/>
          <w:sz w:val="24"/>
          <w:szCs w:val="24"/>
          <w:u w:val="single"/>
        </w:rPr>
        <w:t xml:space="preserve">                                                     </w:t>
      </w:r>
      <w:r/>
    </w:p>
    <w:p>
      <w:pPr>
        <w:ind w:firstLine="420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单位名称（盖章）：</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                      法定代表人（签名或盖章）：</w:t>
      </w:r>
      <w:r>
        <w:rPr>
          <w:rFonts w:hint="eastAsia" w:ascii="宋体" w:hAnsi="宋体" w:eastAsia="宋体" w:cs="Times New Roman"/>
          <w:bCs/>
          <w:sz w:val="24"/>
          <w:szCs w:val="24"/>
          <w:u w:val="single"/>
        </w:rPr>
        <w:t xml:space="preserve">                </w:t>
      </w:r>
      <w:r/>
    </w:p>
    <w:p>
      <w:pPr>
        <w:jc w:val="cente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jc w:val="center"/>
        <w:spacing w:line="400" w:lineRule="exact"/>
        <w:rPr>
          <w:rFonts w:ascii="宋体" w:hAnsi="宋体" w:eastAsia="宋体" w:cs="Times New Roman"/>
          <w:bCs/>
          <w:sz w:val="24"/>
          <w:szCs w:val="24"/>
        </w:rPr>
      </w:pPr>
      <w:r>
        <w:rPr>
          <w:rFonts w:ascii="宋体" w:hAnsi="宋体" w:eastAsia="宋体" w:cs="Times New Roman"/>
          <w:bCs/>
          <w:sz w:val="24"/>
          <w:szCs w:val="24"/>
        </w:rPr>
      </w:r>
      <w:r/>
    </w:p>
    <w:p>
      <w:pPr>
        <w:jc w:val="center"/>
        <w:spacing w:line="400" w:lineRule="exact"/>
        <w:rPr>
          <w:rFonts w:ascii="宋体" w:hAnsi="宋体" w:eastAsia="宋体" w:cs="Times New Roman"/>
          <w:bCs/>
          <w:sz w:val="24"/>
          <w:szCs w:val="24"/>
        </w:rPr>
      </w:pPr>
      <w:r>
        <w:rPr>
          <w:rFonts w:ascii="宋体" w:hAnsi="宋体" w:eastAsia="宋体" w:cs="Times New Roman"/>
          <w:bCs/>
          <w:sz w:val="24"/>
          <w:szCs w:val="24"/>
        </w:rPr>
      </w:r>
      <w:r/>
    </w:p>
    <w:tbl>
      <w:tblPr>
        <w:tblpPr w:horzAnchor="page" w:tblpX="1775" w:vertAnchor="text" w:tblpY="351" w:leftFromText="180" w:topFromText="0" w:rightFromText="180" w:bottomFromText="0"/>
        <w:tblW w:w="85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842"/>
        <w:gridCol w:w="2843"/>
        <w:gridCol w:w="2843"/>
      </w:tblGrid>
      <w:tr>
        <w:trPr>
          <w:trHeight w:val="1679"/>
        </w:trPr>
        <w:tc>
          <w:tcPr>
            <w:tcW w:w="2842" w:type="dxa"/>
            <w:vAlign w:val="center"/>
            <w:textDirection w:val="lrTb"/>
            <w:noWrap w:val="false"/>
          </w:tcPr>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法定代表人身份证</w:t>
            </w:r>
            <w:r/>
          </w:p>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扫描件</w:t>
            </w:r>
            <w:r/>
          </w:p>
        </w:tc>
        <w:tc>
          <w:tcPr>
            <w:tcBorders>
              <w:top w:val="none" w:color="000000" w:sz="4" w:space="0"/>
              <w:bottom w:val="none" w:color="000000" w:sz="4" w:space="0"/>
            </w:tcBorders>
            <w:tcW w:w="2843" w:type="dxa"/>
            <w:textDirection w:val="lrTb"/>
            <w:noWrap w:val="false"/>
          </w:tcPr>
          <w:p>
            <w:pPr>
              <w:spacing w:line="400" w:lineRule="exact"/>
              <w:rPr>
                <w:rFonts w:ascii="宋体" w:hAnsi="宋体" w:eastAsia="宋体" w:cs="Times New Roman"/>
                <w:bCs/>
                <w:sz w:val="24"/>
                <w:szCs w:val="24"/>
              </w:rPr>
            </w:pPr>
            <w:r>
              <w:rPr>
                <w:rFonts w:ascii="宋体" w:hAnsi="宋体" w:eastAsia="宋体" w:cs="Times New Roman"/>
                <w:bCs/>
                <w:sz w:val="24"/>
                <w:szCs w:val="24"/>
              </w:rPr>
            </w:r>
            <w:r/>
          </w:p>
        </w:tc>
        <w:tc>
          <w:tcPr>
            <w:tcW w:w="2843" w:type="dxa"/>
            <w:vAlign w:val="center"/>
            <w:textDirection w:val="lrTb"/>
            <w:noWrap w:val="false"/>
          </w:tcPr>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授权委托人身份证</w:t>
            </w:r>
            <w:r/>
          </w:p>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扫描件</w:t>
            </w:r>
            <w:r/>
          </w:p>
        </w:tc>
      </w:tr>
    </w:tbl>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right="1470"/>
        <w:rPr>
          <w:rFonts w:ascii="宋体" w:hAnsi="宋体" w:eastAsia="宋体" w:cs="Times New Roman"/>
          <w:sz w:val="24"/>
          <w:szCs w:val="24"/>
        </w:rPr>
      </w:pPr>
      <w:r>
        <w:rPr>
          <w:rFonts w:ascii="宋体" w:hAnsi="宋体" w:eastAsia="宋体" w:cs="Times New Roman"/>
          <w:sz w:val="24"/>
          <w:szCs w:val="24"/>
        </w:rPr>
      </w:r>
      <w:r/>
    </w:p>
    <w:p>
      <w:pPr>
        <w:jc w:val="center"/>
        <w:keepLines/>
        <w:keepNext/>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keepLines/>
        <w:keepNext/>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法定代表人亲自投标声明</w:t>
      </w:r>
      <w:r/>
    </w:p>
    <w:p>
      <w:pPr>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江阴市政府采购中心：</w:t>
      </w:r>
      <w:r/>
    </w:p>
    <w:p>
      <w:pPr>
        <w:ind w:firstLine="480"/>
        <w:spacing w:line="400" w:lineRule="exact"/>
        <w:rPr>
          <w:rFonts w:ascii="宋体" w:hAnsi="宋体" w:eastAsia="宋体" w:cs="Times New Roman"/>
          <w:bCs/>
          <w:sz w:val="24"/>
          <w:szCs w:val="24"/>
          <w:u w:val="single"/>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系中华人民共和国合法企业。法定地址：</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项目（项目编号：</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）由我单位法定代表人亲自参加投标、评标、签约等具体工作，并签署全部有关的文件、协议及合同。</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法定代表人情况：</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姓名：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性别：</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年龄：</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身份证号码：</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电话：</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通讯地址：</w:t>
      </w:r>
      <w:r>
        <w:rPr>
          <w:rFonts w:hint="eastAsia" w:ascii="宋体" w:hAnsi="宋体" w:eastAsia="宋体" w:cs="Times New Roman"/>
          <w:bCs/>
          <w:sz w:val="24"/>
          <w:szCs w:val="24"/>
          <w:u w:val="single"/>
        </w:rPr>
        <w:t xml:space="preserve">                                                     </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right="480" w:firstLine="3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单位名称（盖章）：</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              </w:t>
      </w:r>
      <w:r/>
    </w:p>
    <w:p>
      <w:pPr>
        <w:ind w:right="480" w:firstLine="25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法定代表人（签名或盖章）：</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 </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right="480"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           </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right="1470"/>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附：</w:t>
      </w:r>
      <w:r/>
    </w:p>
    <w:tbl>
      <w:tblPr>
        <w:tblpPr w:horzAnchor="page" w:tblpXSpec="center" w:vertAnchor="text" w:tblpY="351" w:leftFromText="180" w:topFromText="0" w:rightFromText="180" w:bottomFromText="0"/>
        <w:tblW w:w="28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842"/>
      </w:tblGrid>
      <w:tr>
        <w:trPr>
          <w:trHeight w:val="1679"/>
        </w:trPr>
        <w:tc>
          <w:tcPr>
            <w:tcW w:w="2842" w:type="dxa"/>
            <w:vAlign w:val="center"/>
            <w:textDirection w:val="lrTb"/>
            <w:noWrap w:val="false"/>
          </w:tcPr>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法定代表人身份证</w:t>
            </w:r>
            <w:r/>
          </w:p>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扫描件</w:t>
            </w:r>
            <w:r/>
          </w:p>
        </w:tc>
      </w:tr>
    </w:tbl>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Cs/>
          <w:sz w:val="24"/>
          <w:szCs w:val="24"/>
        </w:rPr>
      </w:pPr>
      <w:r>
        <w:rPr>
          <w:rFonts w:ascii="宋体" w:hAnsi="宋体" w:eastAsia="宋体" w:cs="Times New Roman"/>
          <w:bCs/>
          <w:sz w:val="24"/>
          <w:szCs w:val="24"/>
        </w:rPr>
      </w:r>
      <w:r/>
    </w:p>
    <w:p>
      <w:pPr>
        <w:spacing w:line="400" w:lineRule="exact"/>
        <w:rPr>
          <w:rFonts w:ascii="宋体" w:hAnsi="宋体" w:eastAsia="宋体" w:cs="Times New Roman"/>
          <w:bCs/>
          <w:sz w:val="24"/>
          <w:szCs w:val="24"/>
        </w:rPr>
      </w:pPr>
      <w:r>
        <w:rPr>
          <w:rFonts w:ascii="宋体" w:hAnsi="宋体" w:eastAsia="宋体" w:cs="Times New Roman"/>
          <w:bCs/>
          <w:sz w:val="24"/>
          <w:szCs w:val="24"/>
        </w:rPr>
      </w:r>
      <w:r/>
    </w:p>
    <w:p>
      <w:pPr>
        <w:jc w:val="center"/>
        <w:spacing w:line="400" w:lineRule="exact"/>
        <w:rPr>
          <w:rFonts w:ascii="宋体" w:hAnsi="宋体" w:eastAsia="宋体" w:cs="Times New Roman"/>
          <w:bCs/>
          <w:sz w:val="24"/>
          <w:szCs w:val="24"/>
        </w:rPr>
      </w:pPr>
      <w:r>
        <w:rPr>
          <w:rFonts w:ascii="宋体" w:hAnsi="宋体" w:eastAsia="宋体" w:cs="Times New Roman"/>
          <w:bCs/>
          <w:sz w:val="24"/>
          <w:szCs w:val="24"/>
        </w:rPr>
      </w:r>
      <w:r/>
    </w:p>
    <w:p>
      <w:pPr>
        <w:jc w:val="center"/>
        <w:spacing w:line="400" w:lineRule="exact"/>
        <w:rPr>
          <w:rFonts w:ascii="宋体" w:hAnsi="宋体" w:eastAsia="宋体" w:cs="Times New Roman"/>
          <w:bCs/>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bCs/>
          <w:sz w:val="24"/>
          <w:szCs w:val="24"/>
        </w:rPr>
      </w:r>
      <w:r/>
    </w:p>
    <w:p>
      <w:pPr>
        <w:jc w:val="cente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七、关于资格的声明函</w:t>
      </w:r>
      <w:r/>
    </w:p>
    <w:p>
      <w:pPr>
        <w:ind w:firstLine="480"/>
        <w:spacing w:line="400" w:lineRule="exact"/>
        <w:rPr>
          <w:rFonts w:ascii="宋体" w:hAnsi="宋体" w:eastAsia="宋体" w:cs="Times New Roman"/>
          <w:bCs/>
          <w:sz w:val="24"/>
          <w:szCs w:val="24"/>
        </w:rPr>
      </w:pPr>
      <w:r>
        <w:rPr>
          <w:rFonts w:ascii="宋体" w:hAnsi="宋体" w:eastAsia="宋体" w:cs="Times New Roman"/>
          <w:bCs/>
          <w:sz w:val="24"/>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江阴市政府采购中心：</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按照《中华人民共和国政府采购法》第二十二条和招标文件的规定，我单位郑重声明如下：</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一、我单位是按照中华人民共和国法律规定登记注册的，注册地点为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，全称为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，统一社会信用代码为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，法定代表人（单位负责人）为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，具有独立承担民事责任的能力</w:t>
      </w:r>
      <w:r>
        <w:rPr>
          <w:rFonts w:hint="eastAsia" w:ascii="宋体" w:hAnsi="宋体" w:eastAsia="宋体" w:cs="Times New Roman"/>
          <w:b/>
          <w:bCs/>
          <w:sz w:val="24"/>
          <w:szCs w:val="24"/>
        </w:rPr>
        <w:t xml:space="preserve">（如属于分公司经总公司授权参与项目，由总公司承担民事责任的，须提供总公司项目授权书）</w:t>
      </w:r>
      <w:r>
        <w:rPr>
          <w:rFonts w:hint="eastAsia" w:ascii="宋体" w:hAnsi="宋体" w:eastAsia="宋体" w:cs="Times New Roman"/>
          <w:bCs/>
          <w:sz w:val="24"/>
          <w:szCs w:val="24"/>
        </w:rPr>
        <w:t xml:space="preserve">。</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二、我单位具有良好的商业信誉（指投标人经营状况良好，无本资格声明第五条情形）和健全的财务会计制度。</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三、我单位依法进行纳税和社会保险申报并实际履行了义务。</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四、我单位具备履行本项采购合同所必需的设备和专业技术能力，为履行本项采购合同我公司具备如下主要设备和主要专业技术能力：主要设备有：</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。主要专业技术能力有：</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五、我单位参加本次政府采购活动前 3 年内，我单位在经营活动中没有因违法经营受到刑事处罚或者责令停产停业、吊销许可证或者执照、较大数额罚款等行政处罚。</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六、我单位具备法律、行政法规规定的其他条件。</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七、</w:t>
      </w:r>
      <w:r>
        <w:rPr>
          <w:rFonts w:ascii="宋体" w:hAnsi="宋体" w:eastAsia="宋体" w:cs="Times New Roman"/>
          <w:bCs/>
          <w:sz w:val="24"/>
          <w:szCs w:val="24"/>
        </w:rPr>
        <w:t xml:space="preserve">我单位未被列入“信用中国”网站列入失信被执行人、重大税收违法失信主体、政府采购严重违法失信行为信息记录名单。</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八、我单位不具有违反《中华人民共和国政府采购法》第二十二条的任何情形。</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九、我单位投标文件中所有关于投标资格的文件、证明、陈述均是真实的、准确的。</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我单位承诺遵守《中华人民共和国政府采购法》第二十二、七十七条之规定，若有违背，我公司（单位）愿意承担因“提供虚假材料谋取中标的”的一切法律后果，依法接受相应处罚。</w:t>
      </w:r>
      <w:r/>
    </w:p>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sz w:val="24"/>
          <w:szCs w:val="24"/>
        </w:rPr>
      </w:pPr>
      <w:r>
        <w:rPr>
          <w:rFonts w:hint="eastAsia" w:ascii="宋体" w:hAnsi="宋体" w:eastAsia="宋体" w:cs="Times New Roman"/>
          <w:bCs/>
          <w:sz w:val="24"/>
          <w:szCs w:val="24"/>
        </w:rPr>
        <w:t xml:space="preserve">日期：     年    月    日</w:t>
      </w:r>
      <w:r/>
    </w:p>
    <w:p>
      <w:pPr>
        <w:rPr>
          <w:rFonts w:ascii="宋体" w:hAnsi="宋体" w:eastAsia="宋体" w:cs="Times New Roman"/>
          <w:b/>
          <w:bCs/>
          <w:sz w:val="24"/>
          <w:szCs w:val="24"/>
        </w:rPr>
      </w:pPr>
      <w:r>
        <w:rPr>
          <w:rFonts w:ascii="宋体" w:hAnsi="宋体" w:eastAsia="宋体" w:cs="Times New Roman"/>
          <w:b/>
          <w:bCs/>
          <w:sz w:val="24"/>
          <w:szCs w:val="24"/>
        </w:rPr>
      </w:r>
      <w:r/>
    </w:p>
    <w:p>
      <w:pPr>
        <w:rPr>
          <w:rFonts w:ascii="宋体" w:hAnsi="宋体" w:eastAsia="宋体" w:cs="Times New Roman"/>
          <w:b/>
          <w:bCs/>
          <w:szCs w:val="21"/>
        </w:rPr>
      </w:pPr>
      <w:r>
        <w:rPr>
          <w:rFonts w:hint="eastAsia" w:ascii="宋体" w:hAnsi="宋体" w:eastAsia="宋体" w:cs="Times New Roman"/>
          <w:b/>
          <w:bCs/>
          <w:szCs w:val="21"/>
        </w:rPr>
        <w:t xml:space="preserve">说明：</w:t>
      </w:r>
      <w:r/>
    </w:p>
    <w:p>
      <w:pPr>
        <w:ind w:firstLine="422"/>
        <w:jc w:val="left"/>
        <w:rPr>
          <w:rFonts w:ascii="宋体" w:hAnsi="宋体" w:eastAsia="宋体" w:cs="Times New Roman"/>
          <w:b/>
          <w:bCs/>
          <w:szCs w:val="21"/>
        </w:rPr>
      </w:pPr>
      <w:r>
        <w:rPr>
          <w:rFonts w:hint="eastAsia" w:ascii="宋体" w:hAnsi="宋体" w:eastAsia="宋体" w:cs="Times New Roman"/>
          <w:b/>
          <w:bCs/>
          <w:szCs w:val="21"/>
        </w:rPr>
        <w:t xml:space="preserve">1.无此表或对此表作实质性修改，投标无效。</w:t>
      </w:r>
      <w:r/>
    </w:p>
    <w:p>
      <w:pPr>
        <w:ind w:firstLine="422"/>
        <w:jc w:val="left"/>
        <w:rPr>
          <w:rFonts w:ascii="宋体" w:hAnsi="宋体" w:eastAsia="宋体" w:cs="Times New Roman"/>
          <w:b/>
          <w:bCs/>
          <w:szCs w:val="21"/>
        </w:rPr>
      </w:pPr>
      <w:r>
        <w:rPr>
          <w:rFonts w:hint="eastAsia" w:ascii="宋体" w:hAnsi="宋体" w:eastAsia="宋体" w:cs="Times New Roman"/>
          <w:b/>
          <w:bCs/>
          <w:szCs w:val="21"/>
        </w:rPr>
        <w:t xml:space="preserve">2.投标人须对此表中内容</w:t>
      </w:r>
      <w:r>
        <w:rPr>
          <w:rFonts w:hint="eastAsia" w:ascii="宋体" w:hAnsi="宋体" w:eastAsia="宋体" w:cs="Times New Roman"/>
          <w:b/>
          <w:bCs/>
          <w:szCs w:val="21"/>
        </w:rPr>
        <w:t xml:space="preserve">作出</w:t>
      </w:r>
      <w:r>
        <w:rPr>
          <w:rFonts w:hint="eastAsia" w:ascii="宋体" w:hAnsi="宋体" w:eastAsia="宋体" w:cs="Times New Roman"/>
          <w:b/>
          <w:bCs/>
          <w:szCs w:val="21"/>
        </w:rPr>
        <w:t xml:space="preserve">承诺，否则投标无效。</w:t>
      </w:r>
      <w:r/>
    </w:p>
    <w:p>
      <w:pPr>
        <w:ind w:firstLine="422"/>
        <w:jc w:val="left"/>
        <w:rPr>
          <w:rFonts w:ascii="宋体" w:hAnsi="宋体" w:eastAsia="宋体" w:cs="Times New Roman"/>
          <w:b/>
          <w:bCs/>
          <w:szCs w:val="21"/>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宋体" w:hAnsi="宋体" w:eastAsia="宋体" w:cs="Times New Roman"/>
          <w:b/>
          <w:bCs/>
          <w:szCs w:val="21"/>
        </w:rPr>
        <w:t xml:space="preserve">3.采购中心或采购人保留核查以上承诺事项真实性的权利。</w:t>
      </w:r>
      <w:r/>
    </w:p>
    <w:p>
      <w:pPr>
        <w:spacing w:line="400" w:lineRule="exact"/>
        <w:rPr>
          <w:rFonts w:ascii="黑体" w:hAnsi="黑体" w:eastAsia="黑体" w:cs="Times New Roman"/>
          <w:sz w:val="28"/>
          <w:szCs w:val="28"/>
        </w:rPr>
      </w:pPr>
      <w:r>
        <w:rPr>
          <w:rFonts w:ascii="黑体" w:hAnsi="黑体" w:eastAsia="黑体" w:cs="Times New Roman"/>
          <w:sz w:val="28"/>
          <w:szCs w:val="28"/>
        </w:rPr>
      </w:r>
      <w:r/>
    </w:p>
    <w:p>
      <w:pP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附件：</w:t>
      </w:r>
      <w:r/>
    </w:p>
    <w:p>
      <w:pP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一、中小企业声明函（工程、服务）</w:t>
      </w:r>
      <w:r/>
    </w:p>
    <w:p>
      <w:pPr>
        <w:ind w:firstLine="482"/>
        <w:jc w:val="center"/>
        <w:spacing w:line="400" w:lineRule="exact"/>
        <w:rPr>
          <w:rFonts w:ascii="宋体" w:hAnsi="宋体" w:eastAsia="宋体" w:cs="宋体"/>
          <w:sz w:val="28"/>
          <w:szCs w:val="28"/>
        </w:rPr>
      </w:pPr>
      <w:r>
        <w:rPr>
          <w:rFonts w:hint="eastAsia" w:ascii="仿宋" w:hAnsi="仿宋" w:eastAsia="仿宋" w:cs="Times New Roman"/>
          <w:b/>
          <w:bCs/>
          <w:sz w:val="24"/>
          <w:szCs w:val="24"/>
        </w:rPr>
        <w:t xml:space="preserve">（非小微型企业无需填写提供）</w:t>
      </w:r>
      <w:r/>
    </w:p>
    <w:p>
      <w:pPr>
        <w:ind w:firstLine="560"/>
        <w:jc w:val="center"/>
        <w:spacing w:line="400" w:lineRule="exact"/>
        <w:rPr>
          <w:rFonts w:ascii="宋体" w:hAnsi="宋体" w:eastAsia="宋体" w:cs="宋体"/>
          <w:sz w:val="28"/>
          <w:szCs w:val="28"/>
        </w:rPr>
      </w:pPr>
      <w:r>
        <w:rPr>
          <w:rFonts w:ascii="宋体" w:hAnsi="宋体" w:eastAsia="宋体" w:cs="宋体"/>
          <w:sz w:val="28"/>
          <w:szCs w:val="28"/>
        </w:rPr>
      </w:r>
      <w:r/>
    </w:p>
    <w:p>
      <w:pPr>
        <w:ind w:firstLine="480"/>
        <w:jc w:val="left"/>
        <w:spacing w:line="400" w:lineRule="exact"/>
        <w:rPr>
          <w:rFonts w:ascii="宋体" w:hAnsi="宋体" w:eastAsia="宋体" w:cs="仿宋"/>
          <w:sz w:val="24"/>
          <w:szCs w:val="24"/>
          <w:lang w:eastAsia="zh-TW"/>
        </w:rPr>
      </w:pPr>
      <w:r>
        <w:rPr>
          <w:rFonts w:hint="eastAsia" w:ascii="宋体" w:hAnsi="宋体" w:eastAsia="宋体" w:cs="仿宋"/>
          <w:sz w:val="24"/>
          <w:szCs w:val="24"/>
          <w:lang w:eastAsia="zh-TW"/>
        </w:rPr>
        <w:t xml:space="preserve">本公司（联合体）郑重声明，根据《政府采购促进中小企业发展管理办法》（财库</w:t>
      </w:r>
      <w:r>
        <w:rPr>
          <w:rFonts w:hint="eastAsia" w:ascii="宋体" w:hAnsi="宋体" w:eastAsia="宋体" w:cs="宋体"/>
          <w:sz w:val="24"/>
          <w:szCs w:val="24"/>
          <w:lang w:eastAsia="zh-TW"/>
        </w:rPr>
        <w:t xml:space="preserve">﹝</w:t>
      </w:r>
      <w:r>
        <w:rPr>
          <w:rFonts w:ascii="宋体" w:hAnsi="宋体" w:eastAsia="宋体" w:cs="仿宋"/>
          <w:sz w:val="24"/>
          <w:szCs w:val="24"/>
          <w:lang w:eastAsia="zh-TW"/>
        </w:rPr>
        <w:t xml:space="preserve">2020</w:t>
      </w:r>
      <w:r>
        <w:rPr>
          <w:rFonts w:hint="eastAsia" w:ascii="宋体" w:hAnsi="宋体" w:eastAsia="宋体" w:cs="宋体"/>
          <w:sz w:val="24"/>
          <w:szCs w:val="24"/>
          <w:lang w:eastAsia="zh-TW"/>
        </w:rPr>
        <w:t xml:space="preserve">﹞</w:t>
      </w:r>
      <w:r>
        <w:rPr>
          <w:rFonts w:ascii="宋体" w:hAnsi="宋体" w:eastAsia="宋体" w:cs="仿宋"/>
          <w:sz w:val="24"/>
          <w:szCs w:val="24"/>
          <w:lang w:eastAsia="zh-TW"/>
        </w:rPr>
        <w:t xml:space="preserve">46</w:t>
      </w:r>
      <w:r>
        <w:rPr>
          <w:rFonts w:hint="eastAsia" w:ascii="宋体" w:hAnsi="宋体" w:eastAsia="宋体" w:cs="仿宋"/>
          <w:sz w:val="24"/>
          <w:szCs w:val="24"/>
          <w:lang w:eastAsia="zh-TW"/>
        </w:rPr>
        <w:t xml:space="preserve">号）的规定，本公司（联合体）参加</w:t>
      </w:r>
      <w:r>
        <w:rPr>
          <w:rFonts w:hint="eastAsia" w:ascii="宋体" w:hAnsi="宋体" w:eastAsia="宋体" w:cs="仿宋"/>
          <w:sz w:val="24"/>
          <w:szCs w:val="24"/>
          <w:u w:val="single"/>
        </w:rPr>
        <w:t xml:space="preserve">江阴市第三人民医院</w:t>
      </w:r>
      <w:r>
        <w:rPr>
          <w:rFonts w:hint="eastAsia" w:ascii="宋体" w:hAnsi="宋体" w:eastAsia="宋体" w:cs="仿宋"/>
          <w:sz w:val="24"/>
          <w:szCs w:val="24"/>
          <w:lang w:eastAsia="zh-TW"/>
        </w:rPr>
        <w:t xml:space="preserve">的</w:t>
      </w:r>
      <w:r>
        <w:rPr>
          <w:rFonts w:hint="eastAsia" w:ascii="宋体" w:hAnsi="宋体" w:eastAsia="宋体" w:cs="仿宋"/>
          <w:sz w:val="24"/>
          <w:szCs w:val="24"/>
          <w:u w:val="single"/>
        </w:rPr>
        <w:t xml:space="preserve">江阴市第三人民医院四级电子病历升级改造项目</w:t>
      </w:r>
      <w:r>
        <w:rPr>
          <w:rFonts w:hint="eastAsia" w:ascii="宋体" w:hAnsi="宋体" w:eastAsia="宋体" w:cs="仿宋"/>
          <w:sz w:val="24"/>
          <w:szCs w:val="24"/>
          <w:lang w:eastAsia="zh-TW"/>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jc w:val="left"/>
        <w:spacing w:line="400" w:lineRule="exact"/>
        <w:rPr>
          <w:rFonts w:ascii="宋体" w:hAnsi="宋体" w:eastAsia="宋体" w:cs="Times New Roman"/>
          <w:sz w:val="24"/>
          <w:szCs w:val="24"/>
        </w:rPr>
      </w:pPr>
      <w:r>
        <w:rPr>
          <w:rFonts w:hint="eastAsia" w:ascii="宋体" w:hAnsi="宋体" w:eastAsia="宋体" w:cs="仿宋"/>
          <w:sz w:val="24"/>
          <w:szCs w:val="24"/>
        </w:rPr>
        <w:t xml:space="preserve">1</w:t>
      </w:r>
      <w:r>
        <w:rPr>
          <w:rFonts w:ascii="宋体" w:hAnsi="宋体" w:eastAsia="宋体" w:cs="仿宋"/>
          <w:sz w:val="24"/>
          <w:szCs w:val="24"/>
        </w:rPr>
        <w:t xml:space="preserve">.</w:t>
      </w:r>
      <w:r>
        <w:rPr>
          <w:rFonts w:hint="eastAsia" w:ascii="宋体" w:hAnsi="宋体" w:eastAsia="宋体" w:cs="仿宋"/>
          <w:sz w:val="24"/>
          <w:szCs w:val="24"/>
          <w:u w:val="single"/>
        </w:rPr>
        <w:t xml:space="preserve">（标的名称）</w:t>
      </w:r>
      <w:r>
        <w:rPr>
          <w:rFonts w:hint="eastAsia" w:ascii="宋体" w:hAnsi="宋体" w:eastAsia="宋体" w:cs="仿宋"/>
          <w:sz w:val="24"/>
          <w:szCs w:val="24"/>
        </w:rPr>
        <w:t xml:space="preserve">，属于</w:t>
      </w:r>
      <w:r>
        <w:rPr>
          <w:rFonts w:hint="eastAsia" w:ascii="宋体" w:hAnsi="宋体" w:eastAsia="宋体" w:cs="仿宋"/>
          <w:sz w:val="24"/>
          <w:szCs w:val="24"/>
          <w:u w:val="single"/>
        </w:rPr>
        <w:t xml:space="preserve">软件和信息技术服务业</w:t>
      </w:r>
      <w:r>
        <w:rPr>
          <w:rFonts w:hint="eastAsia" w:ascii="宋体" w:hAnsi="宋体" w:eastAsia="宋体" w:cs="仿宋"/>
          <w:sz w:val="24"/>
          <w:szCs w:val="24"/>
        </w:rPr>
        <w:t xml:space="preserve">；承建（承接）企业为</w:t>
      </w:r>
      <w:r>
        <w:rPr>
          <w:rFonts w:hint="eastAsia" w:ascii="宋体" w:hAnsi="宋体" w:eastAsia="宋体" w:cs="仿宋"/>
          <w:sz w:val="24"/>
          <w:szCs w:val="24"/>
          <w:u w:val="single"/>
        </w:rPr>
        <w:t xml:space="preserve">（企业名称）</w:t>
      </w:r>
      <w:r>
        <w:rPr>
          <w:rFonts w:hint="eastAsia" w:ascii="宋体" w:hAnsi="宋体" w:eastAsia="宋体" w:cs="仿宋"/>
          <w:sz w:val="24"/>
          <w:szCs w:val="24"/>
        </w:rPr>
        <w:t xml:space="preserve">，从业人员</w:t>
      </w:r>
      <w:r>
        <w:rPr>
          <w:rFonts w:hint="eastAsia" w:ascii="宋体" w:hAnsi="宋体" w:eastAsia="宋体" w:cs="Times New Roman"/>
          <w:sz w:val="24"/>
          <w:szCs w:val="24"/>
          <w:u w:val="single"/>
        </w:rPr>
        <w:t xml:space="preserve">　　</w:t>
      </w:r>
      <w:r>
        <w:rPr>
          <w:rFonts w:hint="eastAsia" w:ascii="宋体" w:hAnsi="宋体" w:eastAsia="宋体" w:cs="仿宋"/>
          <w:sz w:val="24"/>
          <w:szCs w:val="24"/>
        </w:rPr>
        <w:t xml:space="preserve">人，营业</w:t>
      </w:r>
      <w:r>
        <w:rPr>
          <w:rFonts w:hint="eastAsia" w:ascii="宋体" w:hAnsi="宋体" w:eastAsia="宋体" w:cs="Times New Roman"/>
          <w:sz w:val="24"/>
          <w:szCs w:val="24"/>
        </w:rPr>
        <w:t xml:space="preserve">收入为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万元，资产总额为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w:t>
      </w:r>
      <w:r>
        <w:rPr>
          <w:rFonts w:hint="eastAsia" w:ascii="宋体" w:hAnsi="宋体" w:eastAsia="宋体" w:cs="Times New Roman"/>
          <w:sz w:val="24"/>
          <w:szCs w:val="24"/>
          <w:vertAlign w:val="superscript"/>
        </w:rPr>
        <w:t xml:space="preserve">１</w:t>
      </w:r>
      <w:r>
        <w:rPr>
          <w:rFonts w:hint="eastAsia" w:ascii="宋体" w:hAnsi="宋体" w:eastAsia="宋体" w:cs="Times New Roman"/>
          <w:sz w:val="24"/>
          <w:szCs w:val="24"/>
        </w:rPr>
        <w:t xml:space="preserve">，属于</w:t>
      </w:r>
      <w:r>
        <w:rPr>
          <w:rFonts w:hint="eastAsia" w:ascii="宋体" w:hAnsi="宋体" w:eastAsia="宋体" w:cs="Times New Roman"/>
          <w:sz w:val="24"/>
          <w:szCs w:val="24"/>
          <w:u w:val="single"/>
        </w:rPr>
        <w:t xml:space="preserve">（中型企业、小型企业、微型企业）</w:t>
      </w:r>
      <w:r>
        <w:rPr>
          <w:rFonts w:hint="eastAsia" w:ascii="宋体" w:hAnsi="宋体" w:eastAsia="宋体" w:cs="Times New Roman"/>
          <w:sz w:val="24"/>
          <w:szCs w:val="24"/>
        </w:rPr>
        <w:t xml:space="preserve">；</w:t>
      </w:r>
      <w:r>
        <w:rPr>
          <w:rFonts w:ascii="宋体" w:hAnsi="宋体" w:eastAsia="宋体" w:cs="Times New Roman"/>
          <w:sz w:val="24"/>
          <w:szCs w:val="24"/>
        </w:rPr>
        <w:t xml:space="preserve"> </w:t>
      </w:r>
      <w:r/>
    </w:p>
    <w:p>
      <w:pPr>
        <w:ind w:firstLine="480"/>
        <w:jc w:val="left"/>
        <w:spacing w:line="400" w:lineRule="exact"/>
        <w:rPr>
          <w:rFonts w:ascii="宋体" w:hAnsi="宋体" w:eastAsia="宋体" w:cs="Times New Roman"/>
          <w:sz w:val="24"/>
          <w:szCs w:val="24"/>
        </w:rPr>
      </w:pPr>
      <w:r>
        <w:rPr>
          <w:rFonts w:ascii="宋体" w:hAnsi="宋体" w:eastAsia="宋体" w:cs="仿宋"/>
          <w:sz w:val="24"/>
          <w:szCs w:val="24"/>
          <w:lang w:eastAsia="zh-TW"/>
        </w:rPr>
        <w:t xml:space="preserve">2.</w:t>
      </w:r>
      <w:r>
        <w:rPr>
          <w:rFonts w:hint="eastAsia" w:ascii="宋体" w:hAnsi="宋体" w:eastAsia="宋体" w:cs="仿宋"/>
          <w:sz w:val="24"/>
          <w:szCs w:val="24"/>
          <w:u w:val="single"/>
          <w:lang w:eastAsia="zh-TW"/>
        </w:rPr>
        <w:t xml:space="preserve">（标的名称）</w:t>
      </w:r>
      <w:r>
        <w:rPr>
          <w:rFonts w:hint="eastAsia" w:ascii="宋体" w:hAnsi="宋体" w:eastAsia="宋体" w:cs="仿宋"/>
          <w:sz w:val="24"/>
          <w:szCs w:val="24"/>
          <w:lang w:eastAsia="zh-TW"/>
        </w:rPr>
        <w:t xml:space="preserve">，属于</w:t>
      </w:r>
      <w:r>
        <w:rPr>
          <w:rFonts w:hint="eastAsia" w:ascii="宋体" w:hAnsi="宋体" w:eastAsia="宋体" w:cs="仿宋"/>
          <w:sz w:val="24"/>
          <w:szCs w:val="24"/>
          <w:u w:val="single"/>
        </w:rPr>
        <w:t xml:space="preserve">软件和信息技术服务业</w:t>
      </w:r>
      <w:r>
        <w:rPr>
          <w:rFonts w:hint="eastAsia" w:ascii="宋体" w:hAnsi="宋体" w:eastAsia="宋体" w:cs="仿宋"/>
          <w:sz w:val="24"/>
          <w:szCs w:val="24"/>
        </w:rPr>
        <w:t xml:space="preserve">；</w:t>
      </w:r>
      <w:r>
        <w:rPr>
          <w:rFonts w:hint="eastAsia" w:ascii="宋体" w:hAnsi="宋体" w:eastAsia="宋体" w:cs="仿宋"/>
          <w:sz w:val="24"/>
          <w:szCs w:val="24"/>
          <w:lang w:eastAsia="zh-TW"/>
        </w:rPr>
        <w:t xml:space="preserve">承建（承接）企业为</w:t>
      </w:r>
      <w:r>
        <w:rPr>
          <w:rFonts w:hint="eastAsia" w:ascii="宋体" w:hAnsi="宋体" w:eastAsia="宋体" w:cs="仿宋"/>
          <w:sz w:val="24"/>
          <w:szCs w:val="24"/>
          <w:u w:val="single"/>
          <w:lang w:eastAsia="zh-TW"/>
        </w:rPr>
        <w:t xml:space="preserve">（企业名称）</w:t>
      </w:r>
      <w:r>
        <w:rPr>
          <w:rFonts w:hint="eastAsia" w:ascii="宋体" w:hAnsi="宋体" w:eastAsia="宋体" w:cs="仿宋"/>
          <w:sz w:val="24"/>
          <w:szCs w:val="24"/>
          <w:lang w:eastAsia="zh-TW"/>
        </w:rPr>
        <w:t xml:space="preserve">，从业人员</w:t>
      </w:r>
      <w:r>
        <w:rPr>
          <w:rFonts w:hint="eastAsia" w:ascii="宋体" w:hAnsi="宋体" w:eastAsia="宋体" w:cs="Times New Roman"/>
          <w:sz w:val="24"/>
          <w:szCs w:val="24"/>
          <w:u w:val="single"/>
          <w:lang w:eastAsia="zh-TW"/>
        </w:rPr>
        <w:t xml:space="preserve">　　</w:t>
      </w:r>
      <w:r>
        <w:rPr>
          <w:rFonts w:hint="eastAsia" w:ascii="宋体" w:hAnsi="宋体" w:eastAsia="宋体" w:cs="仿宋"/>
          <w:sz w:val="24"/>
          <w:szCs w:val="24"/>
          <w:lang w:eastAsia="zh-TW"/>
        </w:rPr>
        <w:t xml:space="preserve">人，营业</w:t>
      </w:r>
      <w:r>
        <w:rPr>
          <w:rFonts w:hint="eastAsia" w:ascii="宋体" w:hAnsi="宋体" w:eastAsia="宋体" w:cs="Times New Roman"/>
          <w:sz w:val="24"/>
          <w:szCs w:val="24"/>
          <w:lang w:eastAsia="zh-TW"/>
        </w:rPr>
        <w:t xml:space="preserve">收入为</w:t>
      </w:r>
      <w:r>
        <w:rPr>
          <w:rFonts w:hint="eastAsia" w:ascii="宋体" w:hAnsi="宋体" w:eastAsia="宋体" w:cs="Times New Roman"/>
          <w:sz w:val="24"/>
          <w:szCs w:val="24"/>
          <w:u w:val="single"/>
          <w:lang w:eastAsia="zh-TW"/>
        </w:rPr>
        <w:t xml:space="preserve">　　</w:t>
      </w:r>
      <w:r>
        <w:rPr>
          <w:rFonts w:hint="eastAsia" w:ascii="宋体" w:hAnsi="宋体" w:eastAsia="宋体" w:cs="Times New Roman"/>
          <w:sz w:val="24"/>
          <w:szCs w:val="24"/>
          <w:lang w:eastAsia="zh-TW"/>
        </w:rPr>
        <w:t xml:space="preserve">万元，资产总额为</w:t>
      </w:r>
      <w:r>
        <w:rPr>
          <w:rFonts w:hint="eastAsia" w:ascii="宋体" w:hAnsi="宋体" w:eastAsia="宋体" w:cs="Times New Roman"/>
          <w:sz w:val="24"/>
          <w:szCs w:val="24"/>
          <w:u w:val="single"/>
          <w:lang w:eastAsia="zh-TW"/>
        </w:rPr>
        <w:t xml:space="preserve">　　</w:t>
      </w:r>
      <w:r>
        <w:rPr>
          <w:rFonts w:hint="eastAsia" w:ascii="宋体" w:hAnsi="宋体" w:eastAsia="宋体" w:cs="Times New Roman"/>
          <w:sz w:val="24"/>
          <w:szCs w:val="24"/>
          <w:lang w:eastAsia="zh-TW"/>
        </w:rPr>
        <w:t xml:space="preserve">万元</w:t>
      </w:r>
      <w:r>
        <w:rPr>
          <w:rFonts w:hint="eastAsia" w:ascii="宋体" w:hAnsi="宋体" w:eastAsia="宋体" w:cs="Times New Roman"/>
          <w:sz w:val="24"/>
          <w:szCs w:val="24"/>
          <w:vertAlign w:val="superscript"/>
          <w:lang w:eastAsia="zh-TW"/>
        </w:rPr>
        <w:t xml:space="preserve">１</w:t>
      </w:r>
      <w:r>
        <w:rPr>
          <w:rFonts w:hint="eastAsia" w:ascii="宋体" w:hAnsi="宋体" w:eastAsia="宋体" w:cs="Times New Roman"/>
          <w:sz w:val="24"/>
          <w:szCs w:val="24"/>
          <w:lang w:eastAsia="zh-TW"/>
        </w:rPr>
        <w:t xml:space="preserve">，属于</w:t>
      </w:r>
      <w:r>
        <w:rPr>
          <w:rFonts w:hint="eastAsia" w:ascii="宋体" w:hAnsi="宋体" w:eastAsia="宋体" w:cs="Times New Roman"/>
          <w:sz w:val="24"/>
          <w:szCs w:val="24"/>
          <w:u w:val="single"/>
          <w:lang w:eastAsia="zh-TW"/>
        </w:rPr>
        <w:t xml:space="preserve">（中型企业、小型企业、微型企业）</w:t>
      </w:r>
      <w:r>
        <w:rPr>
          <w:rFonts w:hint="eastAsia" w:ascii="宋体" w:hAnsi="宋体" w:eastAsia="宋体" w:cs="Times New Roman"/>
          <w:sz w:val="24"/>
          <w:szCs w:val="24"/>
          <w:lang w:eastAsia="zh-TW"/>
        </w:rPr>
        <w:t xml:space="preserve">；</w:t>
      </w:r>
      <w:r/>
    </w:p>
    <w:p>
      <w:pPr>
        <w:ind w:firstLine="480"/>
        <w:jc w:val="left"/>
        <w:spacing w:line="400" w:lineRule="exact"/>
        <w:rPr>
          <w:rFonts w:ascii="宋体" w:hAnsi="宋体" w:eastAsia="宋体" w:cs="Times New Roman"/>
          <w:sz w:val="24"/>
          <w:szCs w:val="24"/>
          <w:lang w:eastAsia="zh-TW"/>
        </w:rPr>
      </w:pPr>
      <w:r>
        <w:rPr>
          <w:rFonts w:hint="eastAsia" w:ascii="宋体" w:hAnsi="宋体" w:eastAsia="宋体" w:cs="仿宋"/>
          <w:sz w:val="24"/>
          <w:szCs w:val="24"/>
          <w:lang w:eastAsia="zh-TW"/>
        </w:rPr>
        <w:t xml:space="preserve">……</w:t>
      </w:r>
      <w:r>
        <w:rPr>
          <w:rFonts w:ascii="宋体" w:hAnsi="宋体" w:eastAsia="宋体" w:cs="仿宋"/>
          <w:sz w:val="24"/>
          <w:szCs w:val="24"/>
          <w:lang w:eastAsia="zh-TW"/>
        </w:rPr>
        <w:t xml:space="preserve"> </w:t>
      </w:r>
      <w:r/>
    </w:p>
    <w:p>
      <w:pPr>
        <w:ind w:firstLine="480"/>
        <w:jc w:val="left"/>
        <w:spacing w:line="400" w:lineRule="exact"/>
        <w:rPr>
          <w:rFonts w:ascii="宋体" w:hAnsi="宋体" w:eastAsia="宋体" w:cs="仿宋"/>
          <w:sz w:val="24"/>
          <w:szCs w:val="24"/>
          <w:lang w:eastAsia="zh-TW"/>
        </w:rPr>
      </w:pPr>
      <w:r>
        <w:rPr>
          <w:rFonts w:hint="eastAsia" w:ascii="宋体" w:hAnsi="宋体" w:eastAsia="宋体" w:cs="仿宋"/>
          <w:sz w:val="24"/>
          <w:szCs w:val="24"/>
          <w:lang w:eastAsia="zh-TW"/>
        </w:rPr>
        <w:t xml:space="preserve">以上企业，不属于大企业的分支机构，不存在控股股东为大企业的情形，也不存在与大企业的负责人为同一人的情形。</w:t>
      </w:r>
      <w:r/>
    </w:p>
    <w:p>
      <w:pPr>
        <w:ind w:firstLine="480"/>
        <w:jc w:val="left"/>
        <w:spacing w:line="400" w:lineRule="exact"/>
        <w:rPr>
          <w:rFonts w:ascii="宋体" w:hAnsi="宋体" w:eastAsia="宋体" w:cs="仿宋"/>
          <w:sz w:val="24"/>
          <w:szCs w:val="24"/>
          <w:lang w:eastAsia="zh-TW"/>
        </w:rPr>
      </w:pPr>
      <w:r>
        <w:rPr>
          <w:rFonts w:hint="eastAsia" w:ascii="宋体" w:hAnsi="宋体" w:eastAsia="宋体" w:cs="仿宋"/>
          <w:sz w:val="24"/>
          <w:szCs w:val="24"/>
          <w:lang w:eastAsia="zh-TW"/>
        </w:rPr>
        <w:t xml:space="preserve">本企业对上述声明内容的真实性负责。如有虚假，将依法承担相应责任。</w:t>
      </w:r>
      <w:r/>
    </w:p>
    <w:p>
      <w:pPr>
        <w:ind w:firstLine="480"/>
        <w:jc w:val="left"/>
        <w:spacing w:line="400" w:lineRule="exact"/>
        <w:rPr>
          <w:rFonts w:ascii="宋体" w:hAnsi="宋体" w:eastAsia="宋体" w:cs="仿宋"/>
          <w:sz w:val="24"/>
          <w:szCs w:val="24"/>
          <w:lang w:eastAsia="zh-TW"/>
        </w:rPr>
      </w:pPr>
      <w:r>
        <w:rPr>
          <w:rFonts w:ascii="宋体" w:hAnsi="宋体" w:eastAsia="宋体" w:cs="仿宋"/>
          <w:sz w:val="24"/>
          <w:szCs w:val="24"/>
          <w:lang w:eastAsia="zh-TW"/>
        </w:rPr>
      </w:r>
      <w:r/>
    </w:p>
    <w:p>
      <w:pPr>
        <w:jc w:val="center"/>
        <w:spacing w:line="400" w:lineRule="exact"/>
        <w:rPr>
          <w:rFonts w:ascii="宋体" w:hAnsi="宋体" w:eastAsia="宋体" w:cs="Times New Roman"/>
          <w:sz w:val="28"/>
          <w:szCs w:val="28"/>
        </w:rPr>
      </w:pPr>
      <w:r>
        <w:rPr>
          <w:rFonts w:ascii="宋体" w:hAnsi="宋体" w:eastAsia="宋体" w:cs="Times New Roman"/>
          <w:sz w:val="28"/>
          <w:szCs w:val="28"/>
        </w:rPr>
      </w:r>
      <w:r/>
    </w:p>
    <w:p>
      <w:pPr>
        <w:ind w:firstLine="3600"/>
        <w:jc w:val="left"/>
        <w:spacing w:line="400" w:lineRule="exact"/>
        <w:rPr>
          <w:rFonts w:ascii="宋体" w:hAnsi="宋体" w:eastAsia="宋体" w:cs="Times New Roman"/>
          <w:bCs/>
          <w:sz w:val="24"/>
          <w:szCs w:val="24"/>
        </w:rPr>
        <w:outlineLvl w:val="1"/>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sz w:val="28"/>
          <w:szCs w:val="28"/>
        </w:rPr>
        <w:outlineLvl w:val="1"/>
      </w:pPr>
      <w:r>
        <w:rPr>
          <w:rFonts w:hint="eastAsia" w:ascii="宋体" w:hAnsi="宋体" w:eastAsia="宋体" w:cs="Times New Roman"/>
          <w:bCs/>
          <w:sz w:val="24"/>
          <w:szCs w:val="24"/>
        </w:rPr>
        <w:t xml:space="preserve">日期：     年    月    日</w:t>
      </w:r>
      <w:r/>
    </w:p>
    <w:p>
      <w:pPr>
        <w:spacing w:line="400" w:lineRule="exact"/>
        <w:rPr>
          <w:rFonts w:ascii="宋体" w:hAnsi="宋体" w:eastAsia="宋体" w:cs="Times New Roman"/>
          <w:b/>
          <w:bCs/>
          <w:szCs w:val="24"/>
        </w:rPr>
      </w:pPr>
      <w:r>
        <w:rPr>
          <w:rFonts w:ascii="宋体" w:hAnsi="宋体" w:eastAsia="宋体" w:cs="Times New Roman"/>
          <w:b/>
          <w:bCs/>
          <w:szCs w:val="24"/>
        </w:rPr>
      </w:r>
      <w:r/>
    </w:p>
    <w:p>
      <w:pPr>
        <w:ind w:left="1680" w:hanging="420"/>
        <w:jc w:val="left"/>
        <w:spacing w:line="400" w:lineRule="exact"/>
        <w:rPr>
          <w:rFonts w:ascii="宋体" w:hAnsi="宋体" w:eastAsia="宋体" w:cs="仿宋_GB2312"/>
          <w:sz w:val="24"/>
          <w:szCs w:val="24"/>
        </w:rPr>
      </w:pPr>
      <w:r>
        <w:rPr>
          <w:rFonts w:ascii="宋体" w:hAnsi="宋体" w:eastAsia="宋体" w:cs="仿宋_GB2312"/>
          <w:sz w:val="24"/>
          <w:szCs w:val="24"/>
        </w:rPr>
      </w:r>
      <w:r/>
    </w:p>
    <w:p>
      <w:pPr>
        <w:ind w:left="1680" w:hanging="420"/>
        <w:jc w:val="left"/>
        <w:spacing w:line="400" w:lineRule="exact"/>
        <w:rPr>
          <w:rFonts w:ascii="宋体" w:hAnsi="宋体" w:eastAsia="宋体" w:cs="仿宋_GB2312"/>
          <w:sz w:val="24"/>
          <w:szCs w:val="24"/>
        </w:rPr>
      </w:pPr>
      <w:r>
        <w:rPr>
          <w:rFonts w:ascii="宋体" w:hAnsi="宋体" w:eastAsia="宋体" w:cs="仿宋_GB2312"/>
          <w:sz w:val="24"/>
          <w:szCs w:val="24"/>
        </w:rPr>
      </w:r>
      <w:r/>
    </w:p>
    <w:p>
      <w:pPr>
        <w:ind w:left="1680" w:hanging="420"/>
        <w:jc w:val="left"/>
        <w:spacing w:line="400" w:lineRule="exact"/>
        <w:rPr>
          <w:rFonts w:ascii="宋体" w:hAnsi="宋体" w:eastAsia="宋体" w:cs="仿宋_GB2312"/>
          <w:sz w:val="24"/>
          <w:szCs w:val="24"/>
        </w:rPr>
      </w:pPr>
      <w:r>
        <w:rPr>
          <w:rFonts w:ascii="宋体" w:hAnsi="宋体" w:eastAsia="宋体" w:cs="仿宋_GB2312"/>
          <w:sz w:val="24"/>
          <w:szCs w:val="24"/>
        </w:rPr>
      </w:r>
      <w:r/>
    </w:p>
    <w:p>
      <w:pPr>
        <w:ind w:left="1680" w:hanging="420"/>
        <w:jc w:val="left"/>
        <w:spacing w:line="400" w:lineRule="exact"/>
        <w:rPr>
          <w:rFonts w:ascii="宋体" w:hAnsi="宋体" w:eastAsia="宋体" w:cs="仿宋_GB2312"/>
          <w:sz w:val="24"/>
          <w:szCs w:val="24"/>
        </w:rPr>
      </w:pPr>
      <w:r>
        <w:rPr>
          <w:rFonts w:ascii="宋体" w:hAnsi="宋体" w:eastAsia="宋体" w:cs="仿宋_GB2312"/>
          <w:sz w:val="24"/>
          <w:szCs w:val="24"/>
        </w:rPr>
      </w:r>
      <w:r/>
    </w:p>
    <w:p>
      <w:pPr>
        <w:jc w:val="left"/>
        <w:spacing w:line="360" w:lineRule="exact"/>
        <w:rPr>
          <w:rFonts w:ascii="宋体" w:hAnsi="宋体" w:eastAsia="宋体" w:cs="仿宋_GB2312"/>
          <w:sz w:val="24"/>
          <w:szCs w:val="24"/>
        </w:rPr>
      </w:pPr>
      <w:r>
        <w:rPr>
          <w:rFonts w:hint="eastAsia" w:ascii="宋体" w:hAnsi="宋体" w:eastAsia="宋体" w:cs="仿宋_GB2312"/>
          <w:sz w:val="18"/>
          <w:szCs w:val="18"/>
        </w:rPr>
        <w:t xml:space="preserve">注：</w:t>
      </w:r>
      <w:r>
        <w:rPr>
          <w:rFonts w:ascii="宋体" w:hAnsi="宋体" w:eastAsia="宋体" w:cs="仿宋_GB2312"/>
          <w:position w:val="6"/>
          <w:sz w:val="18"/>
          <w:szCs w:val="18"/>
          <w:vertAlign w:val="superscript"/>
        </w:rPr>
        <w:t xml:space="preserve">1</w:t>
      </w:r>
      <w:r>
        <w:rPr>
          <w:rFonts w:hint="eastAsia" w:ascii="宋体" w:hAnsi="宋体" w:eastAsia="宋体" w:cs="宋体"/>
          <w:sz w:val="18"/>
          <w:szCs w:val="18"/>
        </w:rPr>
        <w:t xml:space="preserve">从业人员、营业收入、资产总额填报上一年度数据，无上</w:t>
      </w:r>
      <w:r>
        <w:rPr>
          <w:rFonts w:hint="eastAsia" w:ascii="宋体" w:hAnsi="宋体" w:eastAsia="宋体" w:cs="宋体"/>
          <w:sz w:val="18"/>
          <w:szCs w:val="18"/>
        </w:rPr>
        <w:t xml:space="preserve">一</w:t>
      </w:r>
      <w:r>
        <w:rPr>
          <w:rFonts w:hint="eastAsia" w:ascii="宋体" w:hAnsi="宋体" w:eastAsia="宋体" w:cs="宋体"/>
          <w:sz w:val="18"/>
          <w:szCs w:val="18"/>
        </w:rPr>
        <w:t xml:space="preserve">年度数据的新成立企业可不填报。</w:t>
      </w:r>
      <w:r/>
    </w:p>
    <w:p>
      <w:pPr>
        <w:ind w:firstLine="360"/>
        <w:spacing w:line="360" w:lineRule="exact"/>
        <w:rPr>
          <w:rFonts w:ascii="宋体" w:hAnsi="宋体" w:eastAsia="宋体" w:cs="宋体"/>
          <w:sz w:val="18"/>
          <w:szCs w:val="18"/>
        </w:rPr>
      </w:pPr>
      <w:r>
        <w:rPr>
          <w:rFonts w:hint="eastAsia" w:ascii="宋体" w:hAnsi="宋体" w:eastAsia="宋体" w:cs="Times New Roman"/>
          <w:position w:val="6"/>
          <w:sz w:val="18"/>
          <w:szCs w:val="18"/>
          <w:vertAlign w:val="superscript"/>
        </w:rPr>
        <w:t xml:space="preserve">2</w:t>
      </w:r>
      <w:r>
        <w:rPr>
          <w:rFonts w:hint="eastAsia" w:ascii="宋体" w:hAnsi="宋体" w:eastAsia="宋体" w:cs="宋体"/>
          <w:sz w:val="18"/>
          <w:szCs w:val="18"/>
        </w:rPr>
        <w:t xml:space="preserve">中标、成交供应商的《中小企业声明函》将随中标、成交公告进行公示。供应</w:t>
      </w:r>
      <w:r>
        <w:rPr>
          <w:rFonts w:hint="eastAsia" w:ascii="宋体" w:hAnsi="宋体" w:eastAsia="宋体" w:cs="宋体"/>
          <w:sz w:val="18"/>
          <w:szCs w:val="18"/>
        </w:rPr>
        <w:t xml:space="preserve">商按照</w:t>
      </w:r>
      <w:r>
        <w:rPr>
          <w:rFonts w:hint="eastAsia" w:ascii="宋体" w:hAnsi="宋体" w:eastAsia="宋体" w:cs="宋体"/>
          <w:sz w:val="18"/>
          <w:szCs w:val="18"/>
        </w:rPr>
        <w:t xml:space="preserve">本办法规定提供声明</w:t>
      </w:r>
      <w:r>
        <w:rPr>
          <w:rFonts w:hint="eastAsia" w:ascii="宋体" w:hAnsi="宋体" w:eastAsia="宋体" w:cs="宋体"/>
          <w:sz w:val="18"/>
          <w:szCs w:val="18"/>
        </w:rPr>
        <w:t xml:space="preserve">函内容</w:t>
      </w:r>
      <w:r>
        <w:rPr>
          <w:rFonts w:hint="eastAsia" w:ascii="宋体" w:hAnsi="宋体" w:eastAsia="宋体" w:cs="宋体"/>
          <w:sz w:val="18"/>
          <w:szCs w:val="18"/>
        </w:rPr>
        <w:t xml:space="preserve">不实的，属于提供虚假材料谋取中标、成交，依照《中华人民共和国政府采购法》等国家有关规定追究相应责任。</w:t>
      </w:r>
      <w:r/>
    </w:p>
    <w:p>
      <w:pPr>
        <w:jc w:val="center"/>
        <w:spacing w:line="400" w:lineRule="exact"/>
        <w:rPr>
          <w:rFonts w:ascii="宋体" w:hAnsi="宋体" w:eastAsia="宋体" w:cs="Times New Roman"/>
          <w:spacing w:val="6"/>
          <w:sz w:val="28"/>
          <w:szCs w:val="28"/>
        </w:rPr>
      </w:pPr>
      <w:r>
        <w:rPr>
          <w:rFonts w:ascii="宋体" w:hAnsi="宋体" w:eastAsia="宋体" w:cs="Times New Roman"/>
          <w:spacing w:val="6"/>
          <w:sz w:val="28"/>
          <w:szCs w:val="28"/>
        </w:rPr>
      </w:r>
      <w:r/>
    </w:p>
    <w:p>
      <w:pPr>
        <w:jc w:val="center"/>
        <w:spacing w:line="400" w:lineRule="exact"/>
        <w:rPr>
          <w:rFonts w:ascii="宋体" w:hAnsi="宋体" w:eastAsia="宋体" w:cs="Times New Roman"/>
          <w:spacing w:val="6"/>
          <w:sz w:val="28"/>
          <w:szCs w:val="28"/>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pacing w:val="6"/>
          <w:sz w:val="28"/>
          <w:szCs w:val="28"/>
        </w:rPr>
      </w:r>
      <w:r/>
    </w:p>
    <w:p>
      <w:pPr>
        <w:jc w:val="cente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二、残疾人福利性单位声明函</w:t>
      </w:r>
      <w:r/>
    </w:p>
    <w:p>
      <w:pPr>
        <w:jc w:val="center"/>
        <w:spacing w:line="400" w:lineRule="exact"/>
        <w:rPr>
          <w:rFonts w:ascii="仿宋" w:hAnsi="仿宋" w:eastAsia="仿宋" w:cs="Times New Roman"/>
          <w:b/>
          <w:bCs/>
          <w:sz w:val="24"/>
          <w:szCs w:val="24"/>
        </w:rPr>
      </w:pPr>
      <w:r>
        <w:rPr>
          <w:rFonts w:hint="eastAsia" w:ascii="仿宋" w:hAnsi="仿宋" w:eastAsia="仿宋" w:cs="Times New Roman"/>
          <w:b/>
          <w:bCs/>
          <w:sz w:val="24"/>
          <w:szCs w:val="24"/>
        </w:rPr>
        <w:t xml:space="preserve">（非残疾人福利性单位无需填写提供）</w:t>
      </w:r>
      <w:r/>
    </w:p>
    <w:p>
      <w:pPr>
        <w:ind w:firstLine="504"/>
        <w:spacing w:line="400" w:lineRule="exact"/>
        <w:rPr>
          <w:rFonts w:ascii="宋体" w:hAnsi="宋体" w:eastAsia="宋体" w:cs="Times New Roman"/>
          <w:spacing w:val="6"/>
          <w:sz w:val="24"/>
          <w:szCs w:val="24"/>
        </w:rPr>
      </w:pPr>
      <w:r>
        <w:rPr>
          <w:rFonts w:ascii="宋体" w:hAnsi="宋体" w:eastAsia="宋体" w:cs="Times New Roman"/>
          <w:spacing w:val="6"/>
          <w:sz w:val="24"/>
          <w:szCs w:val="24"/>
        </w:rPr>
      </w:r>
      <w:r/>
    </w:p>
    <w:p>
      <w:pPr>
        <w:ind w:firstLine="504"/>
        <w:spacing w:line="400" w:lineRule="exact"/>
        <w:rPr>
          <w:rFonts w:ascii="宋体" w:hAnsi="宋体" w:eastAsia="宋体" w:cs="Times New Roman"/>
          <w:spacing w:val="6"/>
          <w:sz w:val="24"/>
          <w:szCs w:val="24"/>
        </w:rPr>
      </w:pPr>
      <w:r>
        <w:rPr>
          <w:rFonts w:hint="eastAsia" w:ascii="宋体" w:hAnsi="宋体" w:eastAsia="宋体" w:cs="Times New Roman"/>
          <w:spacing w:val="6"/>
          <w:sz w:val="24"/>
          <w:szCs w:val="24"/>
        </w:rPr>
        <w:t xml:space="preserve">本单位郑重声明，根据《财政部 民政部 中国残疾人联合会关于促进残疾人就业政府采购政策的通知》（财库</w:t>
      </w:r>
      <w:r>
        <w:rPr>
          <w:rFonts w:hint="eastAsia" w:ascii="宋体" w:hAnsi="宋体" w:eastAsia="宋体" w:cs="Times New Roman"/>
          <w:sz w:val="24"/>
          <w:szCs w:val="24"/>
        </w:rPr>
        <w:t xml:space="preserve">〔2017〕 141</w:t>
      </w:r>
      <w:r>
        <w:rPr>
          <w:rFonts w:hint="eastAsia" w:ascii="宋体" w:hAnsi="宋体" w:eastAsia="宋体" w:cs="Times New Roman"/>
          <w:spacing w:val="6"/>
          <w:sz w:val="24"/>
          <w:szCs w:val="24"/>
        </w:rPr>
        <w:t xml:space="preserve">号）的规定，本单位为符合条件的残疾人福利性单位，且本单位参加</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单位的</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项目</w:t>
      </w:r>
      <w:r>
        <w:rPr>
          <w:rFonts w:hint="eastAsia" w:ascii="宋体" w:hAnsi="宋体" w:eastAsia="宋体" w:cs="Times New Roman"/>
          <w:spacing w:val="6"/>
          <w:sz w:val="24"/>
          <w:szCs w:val="24"/>
        </w:rPr>
        <w:t xml:space="preserve">采购活动提供本单位制造的货物（由本单位承担工程/提供服务），或者提供其他残疾人福利性单位制造的货物（不包括使用非残疾人福利性单位注册商标的货物）。</w:t>
      </w:r>
      <w:r/>
    </w:p>
    <w:p>
      <w:pPr>
        <w:ind w:firstLine="504"/>
        <w:spacing w:line="400" w:lineRule="exact"/>
        <w:rPr>
          <w:rFonts w:ascii="宋体" w:hAnsi="宋体" w:eastAsia="宋体" w:cs="Times New Roman"/>
          <w:spacing w:val="6"/>
          <w:sz w:val="24"/>
          <w:szCs w:val="24"/>
        </w:rPr>
      </w:pPr>
      <w:r>
        <w:rPr>
          <w:rFonts w:hint="eastAsia" w:ascii="宋体" w:hAnsi="宋体" w:eastAsia="宋体" w:cs="Times New Roman"/>
          <w:spacing w:val="6"/>
          <w:sz w:val="24"/>
          <w:szCs w:val="24"/>
        </w:rPr>
        <w:t xml:space="preserve">本单位对上述声明的真实性负责。如有虚假，将依法承担相应责任。</w:t>
      </w:r>
      <w:r/>
    </w:p>
    <w:p>
      <w:pPr>
        <w:ind w:firstLine="504"/>
        <w:spacing w:line="400" w:lineRule="exact"/>
        <w:rPr>
          <w:rFonts w:ascii="宋体" w:hAnsi="宋体" w:eastAsia="宋体" w:cs="Times New Roman"/>
          <w:spacing w:val="6"/>
          <w:sz w:val="24"/>
          <w:szCs w:val="24"/>
        </w:rPr>
      </w:pPr>
      <w:r>
        <w:rPr>
          <w:rFonts w:ascii="宋体" w:hAnsi="宋体" w:eastAsia="宋体" w:cs="Times New Roman"/>
          <w:spacing w:val="6"/>
          <w:sz w:val="24"/>
          <w:szCs w:val="24"/>
        </w:rPr>
      </w:r>
      <w:r/>
    </w:p>
    <w:p>
      <w:pPr>
        <w:jc w:val="center"/>
        <w:spacing w:line="400" w:lineRule="exact"/>
        <w:rPr>
          <w:rFonts w:ascii="宋体" w:hAnsi="宋体" w:eastAsia="宋体" w:cs="Times New Roman"/>
          <w:sz w:val="28"/>
          <w:szCs w:val="28"/>
        </w:rPr>
      </w:pPr>
      <w:r>
        <w:rPr>
          <w:rFonts w:ascii="宋体" w:hAnsi="宋体" w:eastAsia="宋体" w:cs="Times New Roman"/>
          <w:sz w:val="28"/>
          <w:szCs w:val="28"/>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日期：     年    月    日</w:t>
      </w:r>
      <w:r/>
    </w:p>
    <w:sectPr>
      <w:footnotePr/>
      <w:endnotePr/>
      <w:type w:val="nextPage"/>
      <w:pgSz w:w="11906" w:h="16838" w:orient="portrait"/>
      <w:pgMar w:top="1247" w:right="1247" w:bottom="1247" w:left="1247" w:header="680"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Tahoma">
    <w:panose1 w:val="020B0604030504040204"/>
  </w:font>
  <w:font w:name="楷体">
    <w:panose1 w:val="02010609060101010101"/>
  </w:font>
  <w:font w:name="Symbol">
    <w:panose1 w:val="05050102010706020507"/>
  </w:font>
  <w:font w:name="Wingdings">
    <w:panose1 w:val="05000000000000000000"/>
  </w:font>
  <w:font w:name="Courier New">
    <w:panose1 w:val="02070309020205020404"/>
  </w:font>
  <w:font w:name="宋体">
    <w:panose1 w:val="02010600030101010101"/>
  </w:font>
  <w:font w:name="仿宋">
    <w:panose1 w:val="02010609060101010101"/>
  </w:font>
  <w:font w:name="Calibri">
    <w:panose1 w:val="020F0502020204030204"/>
  </w:font>
  <w:font w:name="Batang">
    <w:panose1 w:val="02010600040101010101"/>
  </w:font>
  <w:font w:name="微软雅黑">
    <w:panose1 w:val="020B0503020204020204"/>
  </w:font>
  <w:font w:name="DFKai-SB">
    <w:panose1 w:val="03050502040202030202"/>
  </w:font>
  <w:font w:name="Times New Roman (正文 CS 字体)">
    <w:panose1 w:val="02020603050405020304"/>
  </w:font>
  <w:font w:name="黑体">
    <w:panose1 w:val="02010609060101010101"/>
  </w:font>
  <w:font w:name="Times New Roman">
    <w:panose1 w:val="02020603050405020304"/>
  </w:font>
  <w:font w:name="楷体_GB2312">
    <w:panose1 w:val="02010609060101010101"/>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362982909"/>
      <w:rPr/>
    </w:sdtPr>
    <w:sdtContent>
      <w:p>
        <w:pPr>
          <w:pStyle w:val="866"/>
          <w:jc w:val="center"/>
        </w:pPr>
        <w:r>
          <w:fldChar w:fldCharType="begin"/>
        </w:r>
        <w:r>
          <w:instrText xml:space="preserve">PAGE   \* MERGEFORMAT</w:instrText>
        </w:r>
        <w:r>
          <w:fldChar w:fldCharType="separate"/>
        </w:r>
        <w:r>
          <w:rPr>
            <w:lang w:val="zh-CN"/>
          </w:rPr>
          <w:t xml:space="preserve">-</w:t>
        </w:r>
        <w:r>
          <w:t xml:space="preserve"> 47 -</w:t>
        </w:r>
        <w:r>
          <w:fldChar w:fldCharType="end"/>
        </w:r>
        <w:r/>
      </w:p>
    </w:sdtContent>
  </w:sdt>
  <w:p>
    <w:pPr>
      <w:pStyle w:val="86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6"/>
      <w:rPr>
        <w:rStyle w:val="877"/>
      </w:rPr>
      <w:framePr w:wrap="around" w:vAnchor="text" w:hAnchor="margin" w:xAlign="center" w:y="1"/>
    </w:pPr>
    <w:r>
      <w:fldChar w:fldCharType="begin"/>
    </w:r>
    <w:r>
      <w:rPr>
        <w:rStyle w:val="877"/>
      </w:rPr>
      <w:instrText xml:space="preserve">PAGE  </w:instrText>
    </w:r>
    <w:r>
      <w:fldChar w:fldCharType="separate"/>
    </w:r>
    <w:r>
      <w:rPr>
        <w:rStyle w:val="877"/>
      </w:rPr>
      <w:t xml:space="preserve">1</w:t>
    </w:r>
    <w:r>
      <w:fldChar w:fldCharType="end"/>
    </w:r>
    <w:r/>
  </w:p>
  <w:p>
    <w:pPr>
      <w:pStyle w:val="866"/>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center" w:pos="4153" w:leader="none"/>
        <w:tab w:val="right" w:pos="8306" w:leader="none"/>
      </w:tabs>
      <w:rPr>
        <w:rFonts w:ascii="黑体" w:hAnsi="黑体" w:eastAsia="黑体" w:cs="Times New Roman"/>
        <w:sz w:val="16"/>
        <w:szCs w:val="18"/>
      </w:rPr>
      <w:pBdr>
        <w:bottom w:val="single" w:color="auto" w:sz="6" w:space="1"/>
      </w:pBdr>
    </w:pPr>
    <w:r>
      <w:rPr>
        <w:rFonts w:hint="eastAsia" w:ascii="黑体" w:hAnsi="黑体" w:eastAsia="黑体" w:cs="Times New Roman"/>
        <w:bCs/>
        <w:sz w:val="16"/>
        <w:szCs w:val="18"/>
      </w:rPr>
      <w:t xml:space="preserve">JSZC-320281-JZCG-G2025-0087江阴市第三人民医院四级电子病历升级改造项目                             江阴市政</w:t>
    </w:r>
    <w:r>
      <w:rPr>
        <w:rFonts w:ascii="黑体" w:hAnsi="黑体" w:eastAsia="黑体" w:cs="Times New Roman"/>
        <w:bCs/>
        <w:sz w:val="16"/>
        <w:szCs w:val="18"/>
      </w:rPr>
      <w:t xml:space="preserve">府采购中心</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sz w:val="21"/>
        <w:szCs w:val="22"/>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2">
    <w:name w:val="Heading 1 Char"/>
    <w:basedOn w:val="855"/>
    <w:link w:val="848"/>
    <w:uiPriority w:val="9"/>
    <w:rPr>
      <w:rFonts w:ascii="Arial" w:hAnsi="Arial" w:eastAsia="Arial" w:cs="Arial"/>
      <w:sz w:val="40"/>
      <w:szCs w:val="40"/>
    </w:rPr>
  </w:style>
  <w:style w:type="character" w:styleId="693">
    <w:name w:val="Heading 2 Char"/>
    <w:basedOn w:val="855"/>
    <w:link w:val="849"/>
    <w:uiPriority w:val="9"/>
    <w:rPr>
      <w:rFonts w:ascii="Arial" w:hAnsi="Arial" w:eastAsia="Arial" w:cs="Arial"/>
      <w:sz w:val="34"/>
    </w:rPr>
  </w:style>
  <w:style w:type="character" w:styleId="694">
    <w:name w:val="Heading 3 Char"/>
    <w:basedOn w:val="855"/>
    <w:link w:val="850"/>
    <w:uiPriority w:val="9"/>
    <w:rPr>
      <w:rFonts w:ascii="Arial" w:hAnsi="Arial" w:eastAsia="Arial" w:cs="Arial"/>
      <w:sz w:val="30"/>
      <w:szCs w:val="30"/>
    </w:rPr>
  </w:style>
  <w:style w:type="character" w:styleId="695">
    <w:name w:val="Heading 4 Char"/>
    <w:basedOn w:val="855"/>
    <w:link w:val="851"/>
    <w:uiPriority w:val="9"/>
    <w:rPr>
      <w:rFonts w:ascii="Arial" w:hAnsi="Arial" w:eastAsia="Arial" w:cs="Arial"/>
      <w:b/>
      <w:bCs/>
      <w:sz w:val="26"/>
      <w:szCs w:val="26"/>
    </w:rPr>
  </w:style>
  <w:style w:type="character" w:styleId="696">
    <w:name w:val="Heading 5 Char"/>
    <w:basedOn w:val="855"/>
    <w:link w:val="852"/>
    <w:uiPriority w:val="9"/>
    <w:rPr>
      <w:rFonts w:ascii="Arial" w:hAnsi="Arial" w:eastAsia="Arial" w:cs="Arial"/>
      <w:b/>
      <w:bCs/>
      <w:sz w:val="24"/>
      <w:szCs w:val="24"/>
    </w:rPr>
  </w:style>
  <w:style w:type="character" w:styleId="697">
    <w:name w:val="Heading 6 Char"/>
    <w:basedOn w:val="855"/>
    <w:link w:val="853"/>
    <w:uiPriority w:val="9"/>
    <w:rPr>
      <w:rFonts w:ascii="Arial" w:hAnsi="Arial" w:eastAsia="Arial" w:cs="Arial"/>
      <w:b/>
      <w:bCs/>
      <w:sz w:val="22"/>
      <w:szCs w:val="22"/>
    </w:rPr>
  </w:style>
  <w:style w:type="character" w:styleId="698">
    <w:name w:val="Heading 7 Char"/>
    <w:basedOn w:val="855"/>
    <w:link w:val="854"/>
    <w:uiPriority w:val="9"/>
    <w:rPr>
      <w:rFonts w:ascii="Arial" w:hAnsi="Arial" w:eastAsia="Arial" w:cs="Arial"/>
      <w:b/>
      <w:bCs/>
      <w:i/>
      <w:iCs/>
      <w:sz w:val="22"/>
      <w:szCs w:val="22"/>
    </w:rPr>
  </w:style>
  <w:style w:type="paragraph" w:styleId="699">
    <w:name w:val="Heading 8"/>
    <w:basedOn w:val="847"/>
    <w:next w:val="847"/>
    <w:link w:val="700"/>
    <w:uiPriority w:val="9"/>
    <w:unhideWhenUsed/>
    <w:qFormat/>
    <w:pPr>
      <w:keepLines/>
      <w:keepNext/>
      <w:spacing w:before="320" w:after="200"/>
      <w:outlineLvl w:val="7"/>
    </w:pPr>
    <w:rPr>
      <w:rFonts w:ascii="Arial" w:hAnsi="Arial" w:eastAsia="Arial" w:cs="Arial"/>
      <w:i/>
      <w:iCs/>
      <w:sz w:val="22"/>
      <w:szCs w:val="22"/>
    </w:rPr>
  </w:style>
  <w:style w:type="character" w:styleId="700">
    <w:name w:val="Heading 8 Char"/>
    <w:basedOn w:val="855"/>
    <w:link w:val="699"/>
    <w:uiPriority w:val="9"/>
    <w:rPr>
      <w:rFonts w:ascii="Arial" w:hAnsi="Arial" w:eastAsia="Arial" w:cs="Arial"/>
      <w:i/>
      <w:iCs/>
      <w:sz w:val="22"/>
      <w:szCs w:val="22"/>
    </w:rPr>
  </w:style>
  <w:style w:type="paragraph" w:styleId="701">
    <w:name w:val="Heading 9"/>
    <w:basedOn w:val="847"/>
    <w:next w:val="847"/>
    <w:link w:val="702"/>
    <w:uiPriority w:val="9"/>
    <w:unhideWhenUsed/>
    <w:qFormat/>
    <w:pPr>
      <w:keepLines/>
      <w:keepNext/>
      <w:spacing w:before="320" w:after="200"/>
      <w:outlineLvl w:val="8"/>
    </w:pPr>
    <w:rPr>
      <w:rFonts w:ascii="Arial" w:hAnsi="Arial" w:eastAsia="Arial" w:cs="Arial"/>
      <w:i/>
      <w:iCs/>
      <w:sz w:val="21"/>
      <w:szCs w:val="21"/>
    </w:rPr>
  </w:style>
  <w:style w:type="character" w:styleId="702">
    <w:name w:val="Heading 9 Char"/>
    <w:basedOn w:val="855"/>
    <w:link w:val="701"/>
    <w:uiPriority w:val="9"/>
    <w:rPr>
      <w:rFonts w:ascii="Arial" w:hAnsi="Arial" w:eastAsia="Arial" w:cs="Arial"/>
      <w:i/>
      <w:iCs/>
      <w:sz w:val="21"/>
      <w:szCs w:val="21"/>
    </w:rPr>
  </w:style>
  <w:style w:type="character" w:styleId="703">
    <w:name w:val="Title Char"/>
    <w:basedOn w:val="855"/>
    <w:link w:val="873"/>
    <w:uiPriority w:val="10"/>
    <w:rPr>
      <w:sz w:val="48"/>
      <w:szCs w:val="48"/>
    </w:rPr>
  </w:style>
  <w:style w:type="paragraph" w:styleId="704">
    <w:name w:val="Subtitle"/>
    <w:basedOn w:val="847"/>
    <w:next w:val="847"/>
    <w:link w:val="705"/>
    <w:uiPriority w:val="11"/>
    <w:qFormat/>
    <w:pPr>
      <w:spacing w:before="200" w:after="200"/>
    </w:pPr>
    <w:rPr>
      <w:sz w:val="24"/>
      <w:szCs w:val="24"/>
    </w:rPr>
  </w:style>
  <w:style w:type="character" w:styleId="705">
    <w:name w:val="Subtitle Char"/>
    <w:basedOn w:val="855"/>
    <w:link w:val="704"/>
    <w:uiPriority w:val="11"/>
    <w:rPr>
      <w:sz w:val="24"/>
      <w:szCs w:val="24"/>
    </w:rPr>
  </w:style>
  <w:style w:type="paragraph" w:styleId="706">
    <w:name w:val="Quote"/>
    <w:basedOn w:val="847"/>
    <w:next w:val="847"/>
    <w:link w:val="707"/>
    <w:uiPriority w:val="29"/>
    <w:qFormat/>
    <w:pPr>
      <w:ind w:left="720" w:right="720"/>
    </w:pPr>
    <w:rPr>
      <w:i/>
    </w:rPr>
  </w:style>
  <w:style w:type="character" w:styleId="707">
    <w:name w:val="Quote Char"/>
    <w:link w:val="706"/>
    <w:uiPriority w:val="29"/>
    <w:rPr>
      <w:i/>
    </w:rPr>
  </w:style>
  <w:style w:type="paragraph" w:styleId="708">
    <w:name w:val="Intense Quote"/>
    <w:basedOn w:val="847"/>
    <w:next w:val="847"/>
    <w:link w:val="70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9">
    <w:name w:val="Intense Quote Char"/>
    <w:link w:val="708"/>
    <w:uiPriority w:val="30"/>
    <w:rPr>
      <w:i/>
    </w:rPr>
  </w:style>
  <w:style w:type="character" w:styleId="710">
    <w:name w:val="Header Char"/>
    <w:basedOn w:val="855"/>
    <w:link w:val="867"/>
    <w:uiPriority w:val="99"/>
  </w:style>
  <w:style w:type="character" w:styleId="711">
    <w:name w:val="Footer Char"/>
    <w:basedOn w:val="855"/>
    <w:link w:val="866"/>
    <w:uiPriority w:val="99"/>
  </w:style>
  <w:style w:type="paragraph" w:styleId="712">
    <w:name w:val="Caption"/>
    <w:basedOn w:val="847"/>
    <w:next w:val="847"/>
    <w:uiPriority w:val="35"/>
    <w:semiHidden/>
    <w:unhideWhenUsed/>
    <w:qFormat/>
    <w:pPr>
      <w:spacing w:line="276" w:lineRule="auto"/>
    </w:pPr>
    <w:rPr>
      <w:b/>
      <w:bCs/>
      <w:color w:val="4f81bd" w:themeColor="accent1"/>
      <w:sz w:val="18"/>
      <w:szCs w:val="18"/>
    </w:rPr>
  </w:style>
  <w:style w:type="character" w:styleId="713">
    <w:name w:val="Caption Char"/>
    <w:basedOn w:val="712"/>
    <w:link w:val="866"/>
    <w:uiPriority w:val="99"/>
  </w:style>
  <w:style w:type="table" w:styleId="714">
    <w:name w:val="Table Grid Light"/>
    <w:basedOn w:val="85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5">
    <w:name w:val="Plain Table 1"/>
    <w:basedOn w:val="85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6">
    <w:name w:val="Plain Table 2"/>
    <w:basedOn w:val="85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7">
    <w:name w:val="Plain Table 3"/>
    <w:basedOn w:val="8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8">
    <w:name w:val="Plain Table 4"/>
    <w:basedOn w:val="8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9">
    <w:name w:val="Plain Table 5"/>
    <w:basedOn w:val="8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0">
    <w:name w:val="Grid Table 1 Light"/>
    <w:basedOn w:val="85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1">
    <w:name w:val="Grid Table 1 Light - Accent 1"/>
    <w:basedOn w:val="85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2">
    <w:name w:val="Grid Table 1 Light - Accent 2"/>
    <w:basedOn w:val="85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3">
    <w:name w:val="Grid Table 1 Light - Accent 3"/>
    <w:basedOn w:val="85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4">
    <w:name w:val="Grid Table 1 Light - Accent 4"/>
    <w:basedOn w:val="85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5">
    <w:name w:val="Grid Table 1 Light - Accent 5"/>
    <w:basedOn w:val="85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6">
    <w:name w:val="Grid Table 1 Light - Accent 6"/>
    <w:basedOn w:val="85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7">
    <w:name w:val="Grid Table 2"/>
    <w:basedOn w:val="85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8">
    <w:name w:val="Grid Table 2 - Accent 1"/>
    <w:basedOn w:val="85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9">
    <w:name w:val="Grid Table 2 - Accent 2"/>
    <w:basedOn w:val="85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0">
    <w:name w:val="Grid Table 2 - Accent 3"/>
    <w:basedOn w:val="85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1">
    <w:name w:val="Grid Table 2 - Accent 4"/>
    <w:basedOn w:val="85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2">
    <w:name w:val="Grid Table 2 - Accent 5"/>
    <w:basedOn w:val="85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3">
    <w:name w:val="Grid Table 2 - Accent 6"/>
    <w:basedOn w:val="85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4">
    <w:name w:val="Grid Table 3"/>
    <w:basedOn w:val="85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1"/>
    <w:basedOn w:val="85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2"/>
    <w:basedOn w:val="85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3"/>
    <w:basedOn w:val="85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4"/>
    <w:basedOn w:val="85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5"/>
    <w:basedOn w:val="85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6"/>
    <w:basedOn w:val="85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4"/>
    <w:basedOn w:val="85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2">
    <w:name w:val="Grid Table 4 - Accent 1"/>
    <w:basedOn w:val="85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3">
    <w:name w:val="Grid Table 4 - Accent 2"/>
    <w:basedOn w:val="85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4">
    <w:name w:val="Grid Table 4 - Accent 3"/>
    <w:basedOn w:val="85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5">
    <w:name w:val="Grid Table 4 - Accent 4"/>
    <w:basedOn w:val="85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6">
    <w:name w:val="Grid Table 4 - Accent 5"/>
    <w:basedOn w:val="85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7">
    <w:name w:val="Grid Table 4 - Accent 6"/>
    <w:basedOn w:val="85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8">
    <w:name w:val="Grid Table 5 Dark"/>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9">
    <w:name w:val="Grid Table 5 Dark- Accent 1"/>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0">
    <w:name w:val="Grid Table 5 Dark - Accent 2"/>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1">
    <w:name w:val="Grid Table 5 Dark - Accent 3"/>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2">
    <w:name w:val="Grid Table 5 Dark- Accent 4"/>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3">
    <w:name w:val="Grid Table 5 Dark - Accent 5"/>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4">
    <w:name w:val="Grid Table 5 Dark - Accent 6"/>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5">
    <w:name w:val="Grid Table 6 Colorful"/>
    <w:basedOn w:val="85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6">
    <w:name w:val="Grid Table 6 Colorful - Accent 1"/>
    <w:basedOn w:val="85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7">
    <w:name w:val="Grid Table 6 Colorful - Accent 2"/>
    <w:basedOn w:val="85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58">
    <w:name w:val="Grid Table 6 Colorful - Accent 3"/>
    <w:basedOn w:val="85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59">
    <w:name w:val="Grid Table 6 Colorful - Accent 4"/>
    <w:basedOn w:val="85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0">
    <w:name w:val="Grid Table 6 Colorful - Accent 5"/>
    <w:basedOn w:val="85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1">
    <w:name w:val="Grid Table 6 Colorful - Accent 6"/>
    <w:basedOn w:val="85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2">
    <w:name w:val="Grid Table 7 Colorful"/>
    <w:basedOn w:val="85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3">
    <w:name w:val="Grid Table 7 Colorful - Accent 1"/>
    <w:basedOn w:val="85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4">
    <w:name w:val="Grid Table 7 Colorful - Accent 2"/>
    <w:basedOn w:val="85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5">
    <w:name w:val="Grid Table 7 Colorful - Accent 3"/>
    <w:basedOn w:val="85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6">
    <w:name w:val="Grid Table 7 Colorful - Accent 4"/>
    <w:basedOn w:val="85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7">
    <w:name w:val="Grid Table 7 Colorful - Accent 5"/>
    <w:basedOn w:val="85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8">
    <w:name w:val="Grid Table 7 Colorful - Accent 6"/>
    <w:basedOn w:val="85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9">
    <w:name w:val="List Table 1 Light"/>
    <w:basedOn w:val="85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0">
    <w:name w:val="List Table 1 Light - Accent 1"/>
    <w:basedOn w:val="85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1">
    <w:name w:val="List Table 1 Light - Accent 2"/>
    <w:basedOn w:val="85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2">
    <w:name w:val="List Table 1 Light - Accent 3"/>
    <w:basedOn w:val="85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3">
    <w:name w:val="List Table 1 Light - Accent 4"/>
    <w:basedOn w:val="85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4">
    <w:name w:val="List Table 1 Light - Accent 5"/>
    <w:basedOn w:val="85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5">
    <w:name w:val="List Table 1 Light - Accent 6"/>
    <w:basedOn w:val="85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6">
    <w:name w:val="List Table 2"/>
    <w:basedOn w:val="85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7">
    <w:name w:val="List Table 2 - Accent 1"/>
    <w:basedOn w:val="85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8">
    <w:name w:val="List Table 2 - Accent 2"/>
    <w:basedOn w:val="85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9">
    <w:name w:val="List Table 2 - Accent 3"/>
    <w:basedOn w:val="85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0">
    <w:name w:val="List Table 2 - Accent 4"/>
    <w:basedOn w:val="85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1">
    <w:name w:val="List Table 2 - Accent 5"/>
    <w:basedOn w:val="85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2">
    <w:name w:val="List Table 2 - Accent 6"/>
    <w:basedOn w:val="85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3">
    <w:name w:val="List Table 3"/>
    <w:basedOn w:val="85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4">
    <w:name w:val="List Table 3 - Accent 1"/>
    <w:basedOn w:val="85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5">
    <w:name w:val="List Table 3 - Accent 2"/>
    <w:basedOn w:val="85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6">
    <w:name w:val="List Table 3 - Accent 3"/>
    <w:basedOn w:val="85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7">
    <w:name w:val="List Table 3 - Accent 4"/>
    <w:basedOn w:val="85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88">
    <w:name w:val="List Table 3 - Accent 5"/>
    <w:basedOn w:val="85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89">
    <w:name w:val="List Table 3 - Accent 6"/>
    <w:basedOn w:val="85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0">
    <w:name w:val="List Table 4"/>
    <w:basedOn w:val="85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1">
    <w:name w:val="List Table 4 - Accent 1"/>
    <w:basedOn w:val="85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2">
    <w:name w:val="List Table 4 - Accent 2"/>
    <w:basedOn w:val="85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3">
    <w:name w:val="List Table 4 - Accent 3"/>
    <w:basedOn w:val="85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4">
    <w:name w:val="List Table 4 - Accent 4"/>
    <w:basedOn w:val="85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5">
    <w:name w:val="List Table 4 - Accent 5"/>
    <w:basedOn w:val="85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6">
    <w:name w:val="List Table 4 - Accent 6"/>
    <w:basedOn w:val="85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7">
    <w:name w:val="List Table 5 Dark"/>
    <w:basedOn w:val="85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1"/>
    <w:basedOn w:val="85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2"/>
    <w:basedOn w:val="85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3"/>
    <w:basedOn w:val="85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4"/>
    <w:basedOn w:val="85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5"/>
    <w:basedOn w:val="85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6"/>
    <w:basedOn w:val="85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6 Colorful"/>
    <w:basedOn w:val="85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5">
    <w:name w:val="List Table 6 Colorful - Accent 1"/>
    <w:basedOn w:val="85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6">
    <w:name w:val="List Table 6 Colorful - Accent 2"/>
    <w:basedOn w:val="85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7">
    <w:name w:val="List Table 6 Colorful - Accent 3"/>
    <w:basedOn w:val="85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08">
    <w:name w:val="List Table 6 Colorful - Accent 4"/>
    <w:basedOn w:val="85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09">
    <w:name w:val="List Table 6 Colorful - Accent 5"/>
    <w:basedOn w:val="85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0">
    <w:name w:val="List Table 6 Colorful - Accent 6"/>
    <w:basedOn w:val="85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1">
    <w:name w:val="List Table 7 Colorful"/>
    <w:basedOn w:val="85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2">
    <w:name w:val="List Table 7 Colorful - Accent 1"/>
    <w:basedOn w:val="85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3">
    <w:name w:val="List Table 7 Colorful - Accent 2"/>
    <w:basedOn w:val="85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4">
    <w:name w:val="List Table 7 Colorful - Accent 3"/>
    <w:basedOn w:val="85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5">
    <w:name w:val="List Table 7 Colorful - Accent 4"/>
    <w:basedOn w:val="85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6">
    <w:name w:val="List Table 7 Colorful - Accent 5"/>
    <w:basedOn w:val="85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7">
    <w:name w:val="List Table 7 Colorful - Accent 6"/>
    <w:basedOn w:val="85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18">
    <w:name w:val="Lined - Accent"/>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9">
    <w:name w:val="Lined - Accent 1"/>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0">
    <w:name w:val="Lined - Accent 2"/>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1">
    <w:name w:val="Lined - Accent 3"/>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2">
    <w:name w:val="Lined - Accent 4"/>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3">
    <w:name w:val="Lined - Accent 5"/>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4">
    <w:name w:val="Lined - Accent 6"/>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5">
    <w:name w:val="Bordered &amp; Lined - Accent"/>
    <w:basedOn w:val="85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6">
    <w:name w:val="Bordered &amp; Lined - Accent 1"/>
    <w:basedOn w:val="85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7">
    <w:name w:val="Bordered &amp; Lined - Accent 2"/>
    <w:basedOn w:val="85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8">
    <w:name w:val="Bordered &amp; Lined - Accent 3"/>
    <w:basedOn w:val="85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9">
    <w:name w:val="Bordered &amp; Lined - Accent 4"/>
    <w:basedOn w:val="85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0">
    <w:name w:val="Bordered &amp; Lined - Accent 5"/>
    <w:basedOn w:val="85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1">
    <w:name w:val="Bordered &amp; Lined - Accent 6"/>
    <w:basedOn w:val="85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2">
    <w:name w:val="Bordered"/>
    <w:basedOn w:val="85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3">
    <w:name w:val="Bordered - Accent 1"/>
    <w:basedOn w:val="85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4">
    <w:name w:val="Bordered - Accent 2"/>
    <w:basedOn w:val="85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5">
    <w:name w:val="Bordered - Accent 3"/>
    <w:basedOn w:val="85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6">
    <w:name w:val="Bordered - Accent 4"/>
    <w:basedOn w:val="85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7">
    <w:name w:val="Bordered - Accent 5"/>
    <w:basedOn w:val="85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8">
    <w:name w:val="Bordered - Accent 6"/>
    <w:basedOn w:val="85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39">
    <w:name w:val="footnote text"/>
    <w:basedOn w:val="847"/>
    <w:link w:val="840"/>
    <w:uiPriority w:val="99"/>
    <w:semiHidden/>
    <w:unhideWhenUsed/>
    <w:pPr>
      <w:spacing w:after="40" w:line="240" w:lineRule="auto"/>
    </w:pPr>
    <w:rPr>
      <w:sz w:val="18"/>
    </w:rPr>
  </w:style>
  <w:style w:type="character" w:styleId="840">
    <w:name w:val="Footnote Text Char"/>
    <w:link w:val="839"/>
    <w:uiPriority w:val="99"/>
    <w:rPr>
      <w:sz w:val="18"/>
    </w:rPr>
  </w:style>
  <w:style w:type="character" w:styleId="841">
    <w:name w:val="footnote reference"/>
    <w:basedOn w:val="855"/>
    <w:uiPriority w:val="99"/>
    <w:unhideWhenUsed/>
    <w:rPr>
      <w:vertAlign w:val="superscript"/>
    </w:rPr>
  </w:style>
  <w:style w:type="paragraph" w:styleId="842">
    <w:name w:val="endnote text"/>
    <w:basedOn w:val="847"/>
    <w:link w:val="843"/>
    <w:uiPriority w:val="99"/>
    <w:semiHidden/>
    <w:unhideWhenUsed/>
    <w:pPr>
      <w:spacing w:after="0" w:line="240" w:lineRule="auto"/>
    </w:pPr>
    <w:rPr>
      <w:sz w:val="20"/>
    </w:rPr>
  </w:style>
  <w:style w:type="character" w:styleId="843">
    <w:name w:val="Endnote Text Char"/>
    <w:link w:val="842"/>
    <w:uiPriority w:val="99"/>
    <w:rPr>
      <w:sz w:val="20"/>
    </w:rPr>
  </w:style>
  <w:style w:type="character" w:styleId="844">
    <w:name w:val="endnote reference"/>
    <w:basedOn w:val="855"/>
    <w:uiPriority w:val="99"/>
    <w:semiHidden/>
    <w:unhideWhenUsed/>
    <w:rPr>
      <w:vertAlign w:val="superscript"/>
    </w:rPr>
  </w:style>
  <w:style w:type="paragraph" w:styleId="845">
    <w:name w:val="TOC Heading"/>
    <w:uiPriority w:val="39"/>
    <w:unhideWhenUsed/>
  </w:style>
  <w:style w:type="paragraph" w:styleId="846">
    <w:name w:val="table of figures"/>
    <w:basedOn w:val="847"/>
    <w:next w:val="847"/>
    <w:uiPriority w:val="99"/>
    <w:unhideWhenUsed/>
    <w:pPr>
      <w:spacing w:after="0" w:afterAutospacing="0"/>
    </w:pPr>
  </w:style>
  <w:style w:type="paragraph" w:styleId="847" w:default="1">
    <w:name w:val="Normal"/>
    <w:qFormat/>
    <w:pPr>
      <w:jc w:val="both"/>
      <w:widowControl w:val="off"/>
    </w:pPr>
  </w:style>
  <w:style w:type="paragraph" w:styleId="848">
    <w:name w:val="Heading 1"/>
    <w:basedOn w:val="847"/>
    <w:next w:val="847"/>
    <w:link w:val="899"/>
    <w:uiPriority w:val="9"/>
    <w:qFormat/>
    <w:pPr>
      <w:keepLines/>
      <w:keepNext/>
      <w:spacing w:before="340" w:after="330" w:line="578" w:lineRule="auto"/>
      <w:outlineLvl w:val="0"/>
    </w:pPr>
    <w:rPr>
      <w:b/>
      <w:bCs/>
      <w:sz w:val="44"/>
      <w:szCs w:val="44"/>
    </w:rPr>
  </w:style>
  <w:style w:type="paragraph" w:styleId="849">
    <w:name w:val="Heading 2"/>
    <w:basedOn w:val="847"/>
    <w:next w:val="847"/>
    <w:uiPriority w:val="9"/>
    <w:semiHidden/>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850">
    <w:name w:val="Heading 3"/>
    <w:basedOn w:val="847"/>
    <w:next w:val="847"/>
    <w:uiPriority w:val="9"/>
    <w:semiHidden/>
    <w:unhideWhenUsed/>
    <w:qFormat/>
    <w:pPr>
      <w:keepLines/>
      <w:keepNext/>
      <w:spacing w:before="260" w:after="260" w:line="416" w:lineRule="auto"/>
      <w:outlineLvl w:val="2"/>
    </w:pPr>
    <w:rPr>
      <w:b/>
      <w:bCs/>
      <w:sz w:val="32"/>
      <w:szCs w:val="32"/>
    </w:rPr>
  </w:style>
  <w:style w:type="paragraph" w:styleId="851">
    <w:name w:val="Heading 4"/>
    <w:basedOn w:val="847"/>
    <w:next w:val="847"/>
    <w:uiPriority w:val="9"/>
    <w:semiHidden/>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852">
    <w:name w:val="Heading 5"/>
    <w:basedOn w:val="847"/>
    <w:next w:val="847"/>
    <w:uiPriority w:val="9"/>
    <w:semiHidden/>
    <w:unhideWhenUsed/>
    <w:qFormat/>
    <w:pPr>
      <w:keepLines/>
      <w:keepNext/>
      <w:spacing w:before="280" w:after="290" w:line="376" w:lineRule="auto"/>
      <w:outlineLvl w:val="4"/>
    </w:pPr>
    <w:rPr>
      <w:b/>
      <w:bCs/>
      <w:sz w:val="28"/>
      <w:szCs w:val="28"/>
    </w:rPr>
  </w:style>
  <w:style w:type="paragraph" w:styleId="853">
    <w:name w:val="Heading 6"/>
    <w:basedOn w:val="847"/>
    <w:next w:val="847"/>
    <w:uiPriority w:val="9"/>
    <w:semiHidden/>
    <w:unhideWhenUsed/>
    <w:qFormat/>
    <w:pPr>
      <w:keepLines/>
      <w:keepNext/>
      <w:spacing w:before="240" w:after="64" w:line="320" w:lineRule="auto"/>
      <w:outlineLvl w:val="5"/>
    </w:pPr>
    <w:rPr>
      <w:rFonts w:asciiTheme="majorHAnsi" w:hAnsiTheme="majorHAnsi" w:eastAsiaTheme="majorEastAsia" w:cstheme="majorBidi"/>
      <w:b/>
      <w:bCs/>
      <w:sz w:val="24"/>
      <w:szCs w:val="24"/>
    </w:rPr>
  </w:style>
  <w:style w:type="paragraph" w:styleId="854">
    <w:name w:val="Heading 7"/>
    <w:basedOn w:val="847"/>
    <w:next w:val="847"/>
    <w:uiPriority w:val="9"/>
    <w:semiHidden/>
    <w:unhideWhenUsed/>
    <w:qFormat/>
    <w:pPr>
      <w:keepLines/>
      <w:keepNext/>
      <w:spacing w:before="240" w:after="64" w:line="320" w:lineRule="auto"/>
      <w:outlineLvl w:val="6"/>
    </w:pPr>
    <w:rPr>
      <w:b/>
      <w:bCs/>
      <w:sz w:val="24"/>
      <w:szCs w:val="24"/>
    </w:rPr>
  </w:style>
  <w:style w:type="character" w:styleId="855" w:default="1">
    <w:name w:val="Default Paragraph Font"/>
    <w:uiPriority w:val="1"/>
    <w:semiHidden/>
    <w:unhideWhenUsed/>
  </w:style>
  <w:style w:type="table" w:styleId="856" w:default="1">
    <w:name w:val="Normal Table"/>
    <w:uiPriority w:val="99"/>
    <w:semiHidden/>
    <w:unhideWhenUsed/>
    <w:tblPr>
      <w:tblInd w:w="0" w:type="dxa"/>
      <w:tblCellMar>
        <w:left w:w="108" w:type="dxa"/>
        <w:top w:w="0" w:type="dxa"/>
        <w:right w:w="108" w:type="dxa"/>
        <w:bottom w:w="0" w:type="dxa"/>
      </w:tblCellMar>
    </w:tblPr>
  </w:style>
  <w:style w:type="numbering" w:styleId="857" w:default="1">
    <w:name w:val="No List"/>
    <w:uiPriority w:val="99"/>
    <w:semiHidden/>
    <w:unhideWhenUsed/>
  </w:style>
  <w:style w:type="paragraph" w:styleId="858">
    <w:name w:val="toc 7"/>
    <w:basedOn w:val="847"/>
    <w:next w:val="847"/>
    <w:uiPriority w:val="39"/>
    <w:unhideWhenUsed/>
    <w:pPr>
      <w:ind w:left="1260"/>
      <w:jc w:val="left"/>
    </w:pPr>
    <w:rPr>
      <w:sz w:val="18"/>
      <w:szCs w:val="18"/>
    </w:rPr>
  </w:style>
  <w:style w:type="paragraph" w:styleId="859">
    <w:name w:val="annotation text"/>
    <w:basedOn w:val="847"/>
    <w:link w:val="886"/>
    <w:uiPriority w:val="99"/>
    <w:semiHidden/>
    <w:unhideWhenUsed/>
    <w:pPr>
      <w:jc w:val="left"/>
    </w:pPr>
  </w:style>
  <w:style w:type="paragraph" w:styleId="860">
    <w:name w:val="Body Text"/>
    <w:basedOn w:val="847"/>
    <w:link w:val="889"/>
    <w:pPr>
      <w:spacing w:line="360" w:lineRule="auto"/>
    </w:pPr>
    <w:rPr>
      <w:rFonts w:ascii="楷体_GB2312" w:hAnsi="Times New Roman" w:eastAsia="楷体_GB2312" w:cs="Times New Roman"/>
      <w:bCs/>
      <w:sz w:val="28"/>
      <w:szCs w:val="24"/>
    </w:rPr>
  </w:style>
  <w:style w:type="paragraph" w:styleId="861">
    <w:name w:val="Body Text Indent"/>
    <w:basedOn w:val="847"/>
    <w:link w:val="893"/>
    <w:unhideWhenUsed/>
    <w:pPr>
      <w:ind w:left="420"/>
      <w:spacing w:after="120"/>
    </w:pPr>
  </w:style>
  <w:style w:type="paragraph" w:styleId="862">
    <w:name w:val="toc 5"/>
    <w:basedOn w:val="847"/>
    <w:next w:val="847"/>
    <w:uiPriority w:val="39"/>
    <w:unhideWhenUsed/>
    <w:pPr>
      <w:ind w:left="840"/>
      <w:jc w:val="left"/>
    </w:pPr>
    <w:rPr>
      <w:sz w:val="18"/>
      <w:szCs w:val="18"/>
    </w:rPr>
  </w:style>
  <w:style w:type="paragraph" w:styleId="863">
    <w:name w:val="toc 3"/>
    <w:basedOn w:val="847"/>
    <w:next w:val="847"/>
    <w:uiPriority w:val="39"/>
    <w:unhideWhenUsed/>
    <w:pPr>
      <w:ind w:left="420"/>
      <w:jc w:val="left"/>
    </w:pPr>
    <w:rPr>
      <w:i/>
      <w:iCs/>
      <w:sz w:val="20"/>
      <w:szCs w:val="20"/>
    </w:rPr>
  </w:style>
  <w:style w:type="paragraph" w:styleId="864">
    <w:name w:val="toc 8"/>
    <w:basedOn w:val="847"/>
    <w:next w:val="847"/>
    <w:uiPriority w:val="39"/>
    <w:unhideWhenUsed/>
    <w:pPr>
      <w:ind w:left="1470"/>
      <w:jc w:val="left"/>
    </w:pPr>
    <w:rPr>
      <w:sz w:val="18"/>
      <w:szCs w:val="18"/>
    </w:rPr>
  </w:style>
  <w:style w:type="paragraph" w:styleId="865">
    <w:name w:val="Balloon Text"/>
    <w:basedOn w:val="847"/>
    <w:link w:val="884"/>
    <w:uiPriority w:val="99"/>
    <w:semiHidden/>
    <w:unhideWhenUsed/>
    <w:rPr>
      <w:sz w:val="18"/>
      <w:szCs w:val="18"/>
    </w:rPr>
  </w:style>
  <w:style w:type="paragraph" w:styleId="866">
    <w:name w:val="Footer"/>
    <w:basedOn w:val="847"/>
    <w:link w:val="882"/>
    <w:unhideWhenUsed/>
    <w:pPr>
      <w:jc w:val="left"/>
      <w:tabs>
        <w:tab w:val="center" w:pos="4153" w:leader="none"/>
        <w:tab w:val="right" w:pos="8306" w:leader="none"/>
      </w:tabs>
    </w:pPr>
    <w:rPr>
      <w:sz w:val="18"/>
      <w:szCs w:val="18"/>
    </w:rPr>
  </w:style>
  <w:style w:type="paragraph" w:styleId="867">
    <w:name w:val="Header"/>
    <w:basedOn w:val="847"/>
    <w:link w:val="881"/>
    <w:unhideWhenUsed/>
    <w:pPr>
      <w:jc w:val="center"/>
      <w:tabs>
        <w:tab w:val="center" w:pos="4153" w:leader="none"/>
        <w:tab w:val="right" w:pos="8306" w:leader="none"/>
      </w:tabs>
      <w:pBdr>
        <w:bottom w:val="single" w:color="auto" w:sz="6" w:space="1"/>
      </w:pBdr>
    </w:pPr>
    <w:rPr>
      <w:sz w:val="18"/>
      <w:szCs w:val="18"/>
    </w:rPr>
  </w:style>
  <w:style w:type="paragraph" w:styleId="868">
    <w:name w:val="toc 1"/>
    <w:basedOn w:val="847"/>
    <w:next w:val="847"/>
    <w:uiPriority w:val="39"/>
    <w:unhideWhenUsed/>
    <w:pPr>
      <w:jc w:val="left"/>
      <w:spacing w:before="120" w:after="120"/>
    </w:pPr>
    <w:rPr>
      <w:b/>
      <w:bCs/>
      <w:caps/>
      <w:sz w:val="20"/>
      <w:szCs w:val="20"/>
    </w:rPr>
  </w:style>
  <w:style w:type="paragraph" w:styleId="869">
    <w:name w:val="toc 4"/>
    <w:basedOn w:val="847"/>
    <w:next w:val="847"/>
    <w:uiPriority w:val="39"/>
    <w:unhideWhenUsed/>
    <w:pPr>
      <w:ind w:left="630"/>
      <w:jc w:val="left"/>
    </w:pPr>
    <w:rPr>
      <w:sz w:val="18"/>
      <w:szCs w:val="18"/>
    </w:rPr>
  </w:style>
  <w:style w:type="paragraph" w:styleId="870">
    <w:name w:val="toc 6"/>
    <w:basedOn w:val="847"/>
    <w:next w:val="847"/>
    <w:uiPriority w:val="39"/>
    <w:unhideWhenUsed/>
    <w:pPr>
      <w:ind w:left="1050"/>
      <w:jc w:val="left"/>
    </w:pPr>
    <w:rPr>
      <w:sz w:val="18"/>
      <w:szCs w:val="18"/>
    </w:rPr>
  </w:style>
  <w:style w:type="paragraph" w:styleId="871">
    <w:name w:val="toc 2"/>
    <w:basedOn w:val="847"/>
    <w:next w:val="847"/>
    <w:uiPriority w:val="39"/>
    <w:unhideWhenUsed/>
    <w:pPr>
      <w:ind w:left="210"/>
      <w:jc w:val="left"/>
    </w:pPr>
    <w:rPr>
      <w:smallCaps/>
      <w:sz w:val="20"/>
      <w:szCs w:val="20"/>
    </w:rPr>
  </w:style>
  <w:style w:type="paragraph" w:styleId="872">
    <w:name w:val="toc 9"/>
    <w:basedOn w:val="847"/>
    <w:next w:val="847"/>
    <w:uiPriority w:val="39"/>
    <w:unhideWhenUsed/>
    <w:pPr>
      <w:ind w:left="1680"/>
      <w:jc w:val="left"/>
    </w:pPr>
    <w:rPr>
      <w:sz w:val="18"/>
      <w:szCs w:val="18"/>
    </w:rPr>
  </w:style>
  <w:style w:type="paragraph" w:styleId="873">
    <w:name w:val="Title"/>
    <w:basedOn w:val="847"/>
    <w:next w:val="847"/>
    <w:link w:val="880"/>
    <w:uiPriority w:val="10"/>
    <w:qFormat/>
    <w:pPr>
      <w:jc w:val="center"/>
      <w:spacing w:line="400" w:lineRule="exact"/>
      <w:outlineLvl w:val="0"/>
    </w:pPr>
    <w:rPr>
      <w:rFonts w:eastAsia="黑体" w:asciiTheme="majorHAnsi" w:hAnsiTheme="majorHAnsi" w:cstheme="majorBidi"/>
      <w:bCs/>
      <w:sz w:val="30"/>
      <w:szCs w:val="32"/>
    </w:rPr>
  </w:style>
  <w:style w:type="paragraph" w:styleId="874">
    <w:name w:val="annotation subject"/>
    <w:basedOn w:val="859"/>
    <w:next w:val="859"/>
    <w:link w:val="887"/>
    <w:uiPriority w:val="99"/>
    <w:semiHidden/>
    <w:unhideWhenUsed/>
    <w:rPr>
      <w:b/>
      <w:bCs/>
    </w:rPr>
  </w:style>
  <w:style w:type="paragraph" w:styleId="875">
    <w:name w:val="Body Text First Indent 2"/>
    <w:basedOn w:val="861"/>
    <w:uiPriority w:val="99"/>
    <w:pPr>
      <w:ind w:left="480" w:firstLine="210"/>
      <w:jc w:val="left"/>
    </w:pPr>
    <w:rPr>
      <w:rFonts w:ascii="DFKai-SB" w:eastAsia="DFKai-SB"/>
      <w:spacing w:val="-8"/>
    </w:rPr>
  </w:style>
  <w:style w:type="table" w:styleId="876">
    <w:name w:val="Table Grid"/>
    <w:basedOn w:val="856"/>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7">
    <w:name w:val="page number"/>
  </w:style>
  <w:style w:type="character" w:styleId="878">
    <w:name w:val="Hyperlink"/>
    <w:basedOn w:val="855"/>
    <w:uiPriority w:val="99"/>
    <w:unhideWhenUsed/>
    <w:rPr>
      <w:color w:val="0000ff" w:themeColor="hyperlink"/>
      <w:u w:val="single"/>
    </w:rPr>
  </w:style>
  <w:style w:type="character" w:styleId="879">
    <w:name w:val="annotation reference"/>
    <w:basedOn w:val="855"/>
    <w:uiPriority w:val="99"/>
    <w:semiHidden/>
    <w:unhideWhenUsed/>
    <w:rPr>
      <w:sz w:val="21"/>
      <w:szCs w:val="21"/>
    </w:rPr>
  </w:style>
  <w:style w:type="character" w:styleId="880" w:customStyle="1">
    <w:name w:val="标题 Char"/>
    <w:basedOn w:val="855"/>
    <w:link w:val="873"/>
    <w:uiPriority w:val="10"/>
    <w:rPr>
      <w:rFonts w:eastAsia="黑体" w:asciiTheme="majorHAnsi" w:hAnsiTheme="majorHAnsi" w:cstheme="majorBidi"/>
      <w:bCs/>
      <w:sz w:val="30"/>
      <w:szCs w:val="32"/>
    </w:rPr>
  </w:style>
  <w:style w:type="character" w:styleId="881" w:customStyle="1">
    <w:name w:val="页眉 Char"/>
    <w:basedOn w:val="855"/>
    <w:link w:val="867"/>
    <w:rPr>
      <w:sz w:val="18"/>
      <w:szCs w:val="18"/>
    </w:rPr>
  </w:style>
  <w:style w:type="character" w:styleId="882" w:customStyle="1">
    <w:name w:val="页脚 Char"/>
    <w:basedOn w:val="855"/>
    <w:link w:val="866"/>
    <w:rPr>
      <w:sz w:val="18"/>
      <w:szCs w:val="18"/>
    </w:rPr>
  </w:style>
  <w:style w:type="character" w:styleId="883" w:customStyle="1">
    <w:name w:val="font2800"/>
    <w:basedOn w:val="855"/>
  </w:style>
  <w:style w:type="character" w:styleId="884" w:customStyle="1">
    <w:name w:val="批注框文本 Char"/>
    <w:basedOn w:val="855"/>
    <w:link w:val="865"/>
    <w:uiPriority w:val="99"/>
    <w:semiHidden/>
    <w:rPr>
      <w:sz w:val="18"/>
      <w:szCs w:val="18"/>
    </w:rPr>
  </w:style>
  <w:style w:type="table" w:styleId="885" w:customStyle="1">
    <w:name w:val="网格型1"/>
    <w:basedOn w:val="856"/>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6" w:customStyle="1">
    <w:name w:val="批注文字 Char"/>
    <w:basedOn w:val="855"/>
    <w:link w:val="859"/>
    <w:uiPriority w:val="99"/>
    <w:semiHidden/>
  </w:style>
  <w:style w:type="character" w:styleId="887" w:customStyle="1">
    <w:name w:val="批注主题 Char"/>
    <w:basedOn w:val="886"/>
    <w:link w:val="874"/>
    <w:uiPriority w:val="99"/>
    <w:semiHidden/>
    <w:rPr>
      <w:b/>
      <w:bCs/>
    </w:rPr>
  </w:style>
  <w:style w:type="character" w:styleId="888" w:customStyle="1">
    <w:name w:val="正文文本 Char"/>
    <w:basedOn w:val="855"/>
    <w:uiPriority w:val="99"/>
    <w:semiHidden/>
  </w:style>
  <w:style w:type="character" w:styleId="889" w:customStyle="1">
    <w:name w:val="正文文本 Char1"/>
    <w:link w:val="860"/>
    <w:rPr>
      <w:rFonts w:ascii="楷体_GB2312" w:hAnsi="Times New Roman" w:eastAsia="楷体_GB2312" w:cs="Times New Roman"/>
      <w:bCs/>
      <w:sz w:val="28"/>
      <w:szCs w:val="24"/>
    </w:rPr>
  </w:style>
  <w:style w:type="paragraph" w:styleId="890" w:customStyle="1">
    <w:name w:val="Table Paragraph"/>
    <w:basedOn w:val="847"/>
    <w:uiPriority w:val="1"/>
    <w:pPr>
      <w:ind w:firstLine="260"/>
      <w:jc w:val="left"/>
      <w:spacing w:line="360" w:lineRule="auto"/>
    </w:pPr>
    <w:rPr>
      <w:rFonts w:ascii="Calibri" w:hAnsi="Calibri" w:eastAsia="仿宋" w:cs="Times New Roman"/>
      <w:sz w:val="28"/>
      <w:lang w:eastAsia="en-US"/>
    </w:rPr>
  </w:style>
  <w:style w:type="paragraph" w:styleId="891">
    <w:name w:val="No Spacing"/>
    <w:link w:val="892"/>
    <w:uiPriority w:val="1"/>
    <w:pPr>
      <w:jc w:val="both"/>
      <w:spacing w:line="360" w:lineRule="auto"/>
      <w:widowControl w:val="off"/>
    </w:pPr>
    <w:rPr>
      <w:rFonts w:ascii="宋体" w:hAnsi="宋体"/>
      <w:sz w:val="24"/>
    </w:rPr>
  </w:style>
  <w:style w:type="character" w:styleId="892" w:customStyle="1">
    <w:name w:val="无间隔 Char"/>
    <w:link w:val="891"/>
    <w:uiPriority w:val="1"/>
    <w:rPr>
      <w:rFonts w:ascii="宋体" w:hAnsi="宋体"/>
      <w:sz w:val="24"/>
    </w:rPr>
  </w:style>
  <w:style w:type="character" w:styleId="893" w:customStyle="1">
    <w:name w:val="正文文本缩进 Char"/>
    <w:basedOn w:val="855"/>
    <w:link w:val="861"/>
  </w:style>
  <w:style w:type="table" w:styleId="894" w:customStyle="1">
    <w:name w:val="网格型2"/>
    <w:basedOn w:val="856"/>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895" w:customStyle="1">
    <w:name w:val="修订1"/>
    <w:hidden/>
    <w:uiPriority w:val="99"/>
    <w:unhideWhenUsed/>
    <w:qFormat/>
  </w:style>
  <w:style w:type="table" w:styleId="896" w:customStyle="1">
    <w:name w:val="网格型3"/>
    <w:basedOn w:val="856"/>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97" w:customStyle="1">
    <w:name w:val="网格型4"/>
    <w:basedOn w:val="856"/>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98" w:customStyle="1">
    <w:name w:val="Table Normal"/>
    <w:semiHidden/>
    <w:unhideWhenUsed/>
    <w:qFormat/>
    <w:tblPr>
      <w:tblCellMar>
        <w:left w:w="0" w:type="dxa"/>
        <w:top w:w="0" w:type="dxa"/>
        <w:right w:w="0" w:type="dxa"/>
        <w:bottom w:w="0" w:type="dxa"/>
      </w:tblCellMar>
    </w:tblPr>
  </w:style>
  <w:style w:type="character" w:styleId="899" w:customStyle="1">
    <w:name w:val="标题 1 Char"/>
    <w:basedOn w:val="855"/>
    <w:link w:val="848"/>
    <w:uiPriority w:val="9"/>
    <w:rPr>
      <w:b/>
      <w:bCs/>
      <w:sz w:val="44"/>
      <w:szCs w:val="44"/>
    </w:rPr>
  </w:style>
  <w:style w:type="paragraph" w:styleId="900" w:customStyle="1">
    <w:name w:val="TOC 标题1"/>
    <w:basedOn w:val="848"/>
    <w:next w:val="847"/>
    <w:uiPriority w:val="39"/>
    <w:semiHidden/>
    <w:unhideWhenUsed/>
    <w:pPr>
      <w:jc w:val="left"/>
      <w:spacing w:before="480" w:after="0" w:line="276" w:lineRule="auto"/>
      <w:widowControl/>
      <w:outlineLvl w:val="9"/>
    </w:pPr>
    <w:rPr>
      <w:rFonts w:asciiTheme="majorHAnsi" w:hAnsiTheme="majorHAnsi" w:eastAsiaTheme="majorEastAsia" w:cstheme="majorBidi"/>
      <w:color w:val="365f91" w:themeColor="accent1" w:themeShade="BF"/>
      <w:sz w:val="28"/>
      <w:szCs w:val="28"/>
    </w:rPr>
  </w:style>
  <w:style w:type="character" w:styleId="901" w:customStyle="1">
    <w:name w:val="font21"/>
    <w:basedOn w:val="855"/>
    <w:rPr>
      <w:rFonts w:ascii="Calibri" w:hAnsi="Calibri" w:cs="Calibri"/>
      <w:color w:val="000000"/>
      <w:sz w:val="21"/>
      <w:szCs w:val="21"/>
      <w:u w:val="none"/>
    </w:rPr>
  </w:style>
  <w:style w:type="character" w:styleId="902" w:customStyle="1">
    <w:name w:val="font11"/>
    <w:basedOn w:val="855"/>
    <w:rPr>
      <w:rFonts w:hint="eastAsia" w:ascii="宋体" w:hAnsi="宋体" w:eastAsia="宋体" w:cs="宋体"/>
      <w:color w:val="000000"/>
      <w:sz w:val="21"/>
      <w:szCs w:val="21"/>
      <w:u w:val="none"/>
    </w:rPr>
  </w:style>
  <w:style w:type="paragraph" w:styleId="903" w:customStyle="1">
    <w:name w:val="(1)"/>
    <w:basedOn w:val="904"/>
    <w:pPr>
      <w:ind w:left="0" w:firstLine="200"/>
      <w:spacing w:line="360" w:lineRule="auto"/>
    </w:pPr>
    <w:rPr>
      <w:rFonts w:eastAsiaTheme="minorEastAsia"/>
      <w:sz w:val="24"/>
    </w:rPr>
  </w:style>
  <w:style w:type="paragraph" w:styleId="904" w:customStyle="1">
    <w:name w:val="A."/>
    <w:basedOn w:val="847"/>
    <w:pPr>
      <w:ind w:left="2268" w:hanging="425"/>
      <w:spacing w:line="440" w:lineRule="exact"/>
    </w:pPr>
    <w:rPr>
      <w:rFonts w:eastAsia="DFKai-SB"/>
      <w:sz w:val="26"/>
      <w:szCs w:val="20"/>
      <w:lang w:eastAsia="zh-TW"/>
    </w:rPr>
  </w:style>
  <w:style w:type="paragraph" w:styleId="905">
    <w:name w:val="List Paragraph"/>
    <w:basedOn w:val="847"/>
    <w:uiPriority w:val="34"/>
    <w:qFormat/>
    <w:pPr>
      <w:ind w:firstLine="420"/>
    </w:pPr>
  </w:style>
  <w:style w:type="paragraph" w:styleId="906" w:customStyle="1">
    <w:name w:val="常规"/>
    <w:basedOn w:val="847"/>
    <w:pPr>
      <w:ind w:left="1134"/>
    </w:pPr>
    <w:rPr>
      <w:szCs w:val="21"/>
    </w:rPr>
  </w:style>
  <w:style w:type="table" w:styleId="907" w:customStyle="1">
    <w:name w:val="网格型5"/>
    <w:basedOn w:val="856"/>
    <w:next w:val="876"/>
    <w:uiPriority w:val="59"/>
    <w:qFormat/>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08" w:customStyle="1">
    <w:name w:val="网格型11"/>
    <w:basedOn w:val="856"/>
    <w:uiPriority w:val="59"/>
    <w:qFormat/>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09" w:customStyle="1">
    <w:name w:val="网格型21"/>
    <w:basedOn w:val="856"/>
    <w:uiPriority w:val="59"/>
    <w:qFormat/>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10" w:customStyle="1">
    <w:name w:val="网格型31"/>
    <w:basedOn w:val="856"/>
    <w:uiPriority w:val="59"/>
    <w:qFormat/>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11" w:customStyle="1">
    <w:name w:val="网格型41"/>
    <w:basedOn w:val="856"/>
    <w:qFormat/>
    <w:pPr>
      <w:jc w:val="both"/>
      <w:widowControl w:val="off"/>
    </w:pPr>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12" w:customStyle="1">
    <w:name w:val="Table Normal1"/>
    <w:semiHidden/>
    <w:unhideWhenUsed/>
    <w:qFormat/>
    <w:rPr>
      <w:sz w:val="20"/>
      <w:szCs w:val="20"/>
    </w:rPr>
    <w:tblPr>
      <w:tblCellMar>
        <w:left w:w="0" w:type="dxa"/>
        <w:top w:w="0" w:type="dxa"/>
        <w:right w:w="0"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EF6AE49A-721B-4B93-B5D0-A5A922C47BEE}">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周兆逸</cp:lastModifiedBy>
  <cp:revision>79</cp:revision>
  <dcterms:created xsi:type="dcterms:W3CDTF">2025-10-17T05:39:00Z</dcterms:created>
  <dcterms:modified xsi:type="dcterms:W3CDTF">2025-11-26T01:59:02Z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eyJoZGlkIjoiYWQzNmU2OGUyZTJkNTJmNjAwOWVmYmU0MWIzZGRjMDQiLCJ1c2VySWQiOiI0ODQxMTQzODcifQ==</vt:lpwstr>
  </property>
  <property fmtid="{D5CDD505-2E9C-101B-9397-08002B2CF9AE}" pid="3" name="KSOProductBuildVer">
    <vt:lpwstr>2052-12.1.0.23542</vt:lpwstr>
  </property>
  <property fmtid="{D5CDD505-2E9C-101B-9397-08002B2CF9AE}" pid="4" name="ICV">
    <vt:lpwstr>62A4F61879DE4DD6A955702271BA0759_13</vt:lpwstr>
  </property>
</Properties>
</file>